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2E" w:rsidRDefault="005B78C7" w:rsidP="005B78C7">
      <w:pPr>
        <w:jc w:val="center"/>
        <w:rPr>
          <w:b/>
          <w:sz w:val="28"/>
          <w:szCs w:val="28"/>
        </w:rPr>
      </w:pPr>
      <w:r>
        <w:rPr>
          <w:b/>
          <w:sz w:val="28"/>
          <w:szCs w:val="28"/>
        </w:rPr>
        <w:t>Some Biblical Extracts</w:t>
      </w:r>
    </w:p>
    <w:p w:rsidR="00641269" w:rsidRDefault="00641269" w:rsidP="005B78C7">
      <w:pPr>
        <w:jc w:val="center"/>
        <w:rPr>
          <w:b/>
          <w:sz w:val="28"/>
          <w:szCs w:val="28"/>
        </w:rPr>
      </w:pPr>
    </w:p>
    <w:p w:rsidR="002F05F7" w:rsidRDefault="005B78C7" w:rsidP="002F05F7">
      <w:pPr>
        <w:jc w:val="both"/>
        <w:rPr>
          <w:lang w:eastAsia="zh-TW"/>
        </w:rPr>
      </w:pPr>
      <w:r>
        <w:rPr>
          <w:i/>
        </w:rPr>
        <w:t>King Hezekiah is cured by the Prophet Isaiah</w:t>
      </w:r>
      <w:r w:rsidR="002F05F7">
        <w:rPr>
          <w:i/>
        </w:rPr>
        <w:t xml:space="preserve">                                                </w:t>
      </w:r>
      <w:r w:rsidR="002F05F7">
        <w:rPr>
          <w:lang w:eastAsia="zh-TW"/>
        </w:rPr>
        <w:t>(II</w:t>
      </w:r>
      <w:r w:rsidR="002F05F7">
        <w:rPr>
          <w:rFonts w:hint="eastAsia"/>
          <w:lang w:eastAsia="zh-TW"/>
        </w:rPr>
        <w:t xml:space="preserve"> Kings 20: 1-7)</w:t>
      </w:r>
    </w:p>
    <w:p w:rsidR="005B78C7" w:rsidRDefault="005B78C7" w:rsidP="005B78C7">
      <w:pPr>
        <w:jc w:val="both"/>
        <w:rPr>
          <w:lang w:eastAsia="zh-TW"/>
        </w:rPr>
      </w:pPr>
      <w:r>
        <w:t>In di</w:t>
      </w:r>
      <w:r w:rsidR="00610DC9">
        <w:t>ēbus illī</w:t>
      </w:r>
      <w:r>
        <w:t>s ægr</w:t>
      </w:r>
      <w:r w:rsidR="00B91566">
        <w:t>ō</w:t>
      </w:r>
      <w:r>
        <w:t>t</w:t>
      </w:r>
      <w:r w:rsidR="00610DC9">
        <w:t>ā</w:t>
      </w:r>
      <w:r>
        <w:t>vit Ezech</w:t>
      </w:r>
      <w:r w:rsidR="00060C85">
        <w:t>ī</w:t>
      </w:r>
      <w:r>
        <w:t>as usque ad mortem; et v</w:t>
      </w:r>
      <w:r w:rsidR="00610DC9">
        <w:t>ē</w:t>
      </w:r>
      <w:r>
        <w:t xml:space="preserve">nit ad eum </w:t>
      </w:r>
      <w:r w:rsidR="0066257E">
        <w:t>Ī</w:t>
      </w:r>
      <w:r>
        <w:t>saias, f</w:t>
      </w:r>
      <w:r w:rsidR="0066257E">
        <w:t>ī</w:t>
      </w:r>
      <w:r>
        <w:t xml:space="preserve">lius </w:t>
      </w:r>
      <w:r w:rsidR="0066257E">
        <w:t>Ā</w:t>
      </w:r>
      <w:r>
        <w:t>mos, proph</w:t>
      </w:r>
      <w:r w:rsidR="0066257E">
        <w:t>ē</w:t>
      </w:r>
      <w:r>
        <w:t>ta, d</w:t>
      </w:r>
      <w:r w:rsidR="0066257E">
        <w:t>ī</w:t>
      </w:r>
      <w:r>
        <w:t>xitque e</w:t>
      </w:r>
      <w:r w:rsidR="0066257E">
        <w:t>ī</w:t>
      </w:r>
      <w:r>
        <w:t>: Hæc d</w:t>
      </w:r>
      <w:r w:rsidR="0066257E">
        <w:t>ī</w:t>
      </w:r>
      <w:r>
        <w:t>cit Dominus Deus: Præcipe domu</w:t>
      </w:r>
      <w:r w:rsidR="0066257E">
        <w:t>ī</w:t>
      </w:r>
      <w:r>
        <w:t xml:space="preserve"> tuæ</w:t>
      </w:r>
      <w:r>
        <w:rPr>
          <w:rStyle w:val="FootnoteReference"/>
        </w:rPr>
        <w:footnoteReference w:id="1"/>
      </w:r>
      <w:r>
        <w:t>, mori</w:t>
      </w:r>
      <w:r w:rsidR="0066257E">
        <w:t>ē</w:t>
      </w:r>
      <w:r>
        <w:t>ris enim t</w:t>
      </w:r>
      <w:r w:rsidR="0066257E">
        <w:t>ū</w:t>
      </w:r>
      <w:r>
        <w:t>, et n</w:t>
      </w:r>
      <w:r w:rsidR="0066257E">
        <w:t>ō</w:t>
      </w:r>
      <w:r>
        <w:t>n v</w:t>
      </w:r>
      <w:r w:rsidR="0066257E">
        <w:t>ī</w:t>
      </w:r>
      <w:r>
        <w:t>v</w:t>
      </w:r>
      <w:r w:rsidR="0066257E">
        <w:t>ē</w:t>
      </w:r>
      <w:r>
        <w:t>s. Qu</w:t>
      </w:r>
      <w:r w:rsidR="00060C85">
        <w:t>ī</w:t>
      </w:r>
      <w:r>
        <w:t xml:space="preserve"> convertit faciem suam ad parietem</w:t>
      </w:r>
      <w:r>
        <w:rPr>
          <w:rStyle w:val="FootnoteReference"/>
        </w:rPr>
        <w:footnoteReference w:id="2"/>
      </w:r>
      <w:r>
        <w:t xml:space="preserve">, et </w:t>
      </w:r>
      <w:r w:rsidR="00060C85">
        <w:t>ō</w:t>
      </w:r>
      <w:r>
        <w:t>r</w:t>
      </w:r>
      <w:r w:rsidR="00060C85">
        <w:t>ā</w:t>
      </w:r>
      <w:r>
        <w:t>vit Dominum, d</w:t>
      </w:r>
      <w:r w:rsidR="00060C85">
        <w:t>ī</w:t>
      </w:r>
      <w:r>
        <w:t>c</w:t>
      </w:r>
      <w:r w:rsidR="00060C85">
        <w:t>ē</w:t>
      </w:r>
      <w:r>
        <w:t xml:space="preserve">ns: </w:t>
      </w:r>
      <w:r w:rsidR="00C324B6">
        <w:t>Obsecr</w:t>
      </w:r>
      <w:r w:rsidR="00060C85">
        <w:t>ō</w:t>
      </w:r>
      <w:r w:rsidR="00C324B6">
        <w:t>, Domine, mement</w:t>
      </w:r>
      <w:r w:rsidR="00060C85">
        <w:t>ō</w:t>
      </w:r>
      <w:r w:rsidR="00C324B6">
        <w:t>, quæs</w:t>
      </w:r>
      <w:r w:rsidR="00060C85">
        <w:t>ō</w:t>
      </w:r>
      <w:r w:rsidR="00C324B6">
        <w:t>, qu</w:t>
      </w:r>
      <w:r w:rsidR="00B6383F">
        <w:t>ō</w:t>
      </w:r>
      <w:r w:rsidR="00C324B6">
        <w:t>mod</w:t>
      </w:r>
      <w:r w:rsidR="00B6383F">
        <w:t>o</w:t>
      </w:r>
      <w:r w:rsidR="00C324B6">
        <w:t xml:space="preserve"> ambul</w:t>
      </w:r>
      <w:r w:rsidR="00060C85">
        <w:t>ā</w:t>
      </w:r>
      <w:r w:rsidR="00C324B6">
        <w:t>verim c</w:t>
      </w:r>
      <w:r w:rsidR="00060C85">
        <w:t>ō</w:t>
      </w:r>
      <w:r w:rsidR="00C324B6">
        <w:t>ram t</w:t>
      </w:r>
      <w:r w:rsidR="00060C85">
        <w:t>ē</w:t>
      </w:r>
      <w:r w:rsidR="00C324B6">
        <w:t xml:space="preserve"> in v</w:t>
      </w:r>
      <w:r w:rsidR="00060C85">
        <w:t>ē</w:t>
      </w:r>
      <w:r w:rsidR="00C324B6">
        <w:t>rit</w:t>
      </w:r>
      <w:r w:rsidR="00060C85">
        <w:t>ā</w:t>
      </w:r>
      <w:r w:rsidR="00C324B6">
        <w:t>te, et in corde perfect</w:t>
      </w:r>
      <w:r w:rsidR="00060C85">
        <w:t>ō</w:t>
      </w:r>
      <w:r w:rsidR="00C324B6">
        <w:t>, et quod placitum est c</w:t>
      </w:r>
      <w:r w:rsidR="00060C85">
        <w:t>ō</w:t>
      </w:r>
      <w:r w:rsidR="00C324B6">
        <w:t>ram te f</w:t>
      </w:r>
      <w:r w:rsidR="00060C85">
        <w:t>ē</w:t>
      </w:r>
      <w:r w:rsidR="00C324B6">
        <w:t>cerim. Fl</w:t>
      </w:r>
      <w:r w:rsidR="00060C85">
        <w:t>ē</w:t>
      </w:r>
      <w:r w:rsidR="00C324B6">
        <w:t>vit itaque Ezech</w:t>
      </w:r>
      <w:r w:rsidR="007C4FAA">
        <w:t>ī</w:t>
      </w:r>
      <w:r w:rsidR="00C324B6">
        <w:t>as fl</w:t>
      </w:r>
      <w:r w:rsidR="00060C85">
        <w:t>ē</w:t>
      </w:r>
      <w:r w:rsidR="00C324B6">
        <w:t>t</w:t>
      </w:r>
      <w:r w:rsidR="00060C85">
        <w:t>ū</w:t>
      </w:r>
      <w:r w:rsidR="00C324B6">
        <w:t xml:space="preserve"> magn</w:t>
      </w:r>
      <w:r w:rsidR="00060C85">
        <w:t>ō</w:t>
      </w:r>
      <w:r w:rsidR="00C324B6">
        <w:t xml:space="preserve">. Et antequam </w:t>
      </w:r>
      <w:r w:rsidR="00060C85">
        <w:t>ē</w:t>
      </w:r>
      <w:r w:rsidR="00C324B6">
        <w:t>greder</w:t>
      </w:r>
      <w:r w:rsidR="00060C85">
        <w:t>ē</w:t>
      </w:r>
      <w:r w:rsidR="00C324B6">
        <w:t xml:space="preserve">tur </w:t>
      </w:r>
      <w:r w:rsidR="00060C85">
        <w:t>Ī</w:t>
      </w:r>
      <w:r w:rsidR="00C324B6">
        <w:t xml:space="preserve">saias mediam partem </w:t>
      </w:r>
      <w:r w:rsidR="00060C85">
        <w:t>ā</w:t>
      </w:r>
      <w:r w:rsidR="00C324B6">
        <w:t>tri</w:t>
      </w:r>
      <w:r w:rsidR="00060C85">
        <w:t>ī</w:t>
      </w:r>
      <w:r w:rsidR="00C324B6">
        <w:t>,</w:t>
      </w:r>
      <w:r w:rsidR="00641269">
        <w:rPr>
          <w:rStyle w:val="FootnoteReference"/>
        </w:rPr>
        <w:footnoteReference w:id="3"/>
      </w:r>
      <w:r w:rsidR="00C324B6">
        <w:t xml:space="preserve"> factus est serm</w:t>
      </w:r>
      <w:r w:rsidR="00060C85">
        <w:t>ō</w:t>
      </w:r>
      <w:r w:rsidR="00C324B6">
        <w:t xml:space="preserve"> Domin</w:t>
      </w:r>
      <w:r w:rsidR="00060C85">
        <w:t>ī</w:t>
      </w:r>
      <w:r w:rsidR="00C324B6">
        <w:t xml:space="preserve"> ad eum, d</w:t>
      </w:r>
      <w:r w:rsidR="007C4FAA">
        <w:t>ī</w:t>
      </w:r>
      <w:r w:rsidR="00C324B6">
        <w:t>c</w:t>
      </w:r>
      <w:r w:rsidR="007C4FAA">
        <w:t>ē</w:t>
      </w:r>
      <w:r w:rsidR="00C324B6">
        <w:t>ns: Revertere, et d</w:t>
      </w:r>
      <w:r w:rsidR="007C4FAA">
        <w:t>ī</w:t>
      </w:r>
      <w:r w:rsidR="00C324B6">
        <w:t>c Ezech</w:t>
      </w:r>
      <w:r w:rsidR="007C4FAA">
        <w:t>ī</w:t>
      </w:r>
      <w:r w:rsidR="00C324B6">
        <w:t>æ, duc</w:t>
      </w:r>
      <w:r w:rsidR="007C4FAA">
        <w:t>ī</w:t>
      </w:r>
      <w:r w:rsidR="00C324B6">
        <w:t xml:space="preserve"> popul</w:t>
      </w:r>
      <w:r w:rsidR="007C4FAA">
        <w:t>ī</w:t>
      </w:r>
      <w:r w:rsidR="00C324B6">
        <w:t xml:space="preserve"> me</w:t>
      </w:r>
      <w:r w:rsidR="007C4FAA">
        <w:t>ī</w:t>
      </w:r>
      <w:r w:rsidR="00C324B6">
        <w:t>: Hæc d</w:t>
      </w:r>
      <w:r w:rsidR="007C4FAA">
        <w:t>ī</w:t>
      </w:r>
      <w:r w:rsidR="00C324B6">
        <w:t>cit Dominus, Deus David patris tu</w:t>
      </w:r>
      <w:r w:rsidR="007C4FAA">
        <w:t>ī</w:t>
      </w:r>
      <w:r w:rsidR="00C324B6">
        <w:t>: Aud</w:t>
      </w:r>
      <w:r w:rsidR="007C4FAA">
        <w:t>ī</w:t>
      </w:r>
      <w:r w:rsidR="00C324B6">
        <w:t>v</w:t>
      </w:r>
      <w:r w:rsidR="007C4FAA">
        <w:t>ī</w:t>
      </w:r>
      <w:r w:rsidR="00C324B6">
        <w:t xml:space="preserve"> </w:t>
      </w:r>
      <w:r w:rsidR="007C4FAA">
        <w:t>ō</w:t>
      </w:r>
      <w:r w:rsidR="00C324B6">
        <w:t>r</w:t>
      </w:r>
      <w:r w:rsidR="007C4FAA">
        <w:t>ā</w:t>
      </w:r>
      <w:r w:rsidR="00C324B6">
        <w:t>ti</w:t>
      </w:r>
      <w:r w:rsidR="007C4FAA">
        <w:t>ō</w:t>
      </w:r>
      <w:r w:rsidR="00C324B6">
        <w:t>nem tuam, et v</w:t>
      </w:r>
      <w:r w:rsidR="007C4FAA">
        <w:t>ī</w:t>
      </w:r>
      <w:r w:rsidR="00C324B6">
        <w:t>d</w:t>
      </w:r>
      <w:r w:rsidR="007C4FAA">
        <w:t>ī</w:t>
      </w:r>
      <w:r w:rsidR="00C324B6">
        <w:t xml:space="preserve"> lachrym</w:t>
      </w:r>
      <w:r w:rsidR="007C4FAA">
        <w:t>ā</w:t>
      </w:r>
      <w:r w:rsidR="00C324B6">
        <w:t>s tu</w:t>
      </w:r>
      <w:r w:rsidR="007C4FAA">
        <w:t>ā</w:t>
      </w:r>
      <w:r w:rsidR="00C324B6">
        <w:t>s; et ecce s</w:t>
      </w:r>
      <w:r w:rsidR="007C4FAA">
        <w:t>ā</w:t>
      </w:r>
      <w:r w:rsidR="00C324B6">
        <w:t>n</w:t>
      </w:r>
      <w:r w:rsidR="007C4FAA">
        <w:t>ā</w:t>
      </w:r>
      <w:r w:rsidR="00C324B6">
        <w:t>v</w:t>
      </w:r>
      <w:r w:rsidR="007C4FAA">
        <w:t>ī</w:t>
      </w:r>
      <w:r w:rsidR="00C324B6">
        <w:t xml:space="preserve"> t</w:t>
      </w:r>
      <w:r w:rsidR="007C4FAA">
        <w:t>ē</w:t>
      </w:r>
      <w:r w:rsidR="00C324B6">
        <w:t>: di</w:t>
      </w:r>
      <w:r w:rsidR="007C4FAA">
        <w:t>ē</w:t>
      </w:r>
      <w:r w:rsidR="00C324B6">
        <w:t xml:space="preserve"> terti</w:t>
      </w:r>
      <w:r w:rsidR="007C4FAA">
        <w:t>ō</w:t>
      </w:r>
      <w:r w:rsidR="00C324B6">
        <w:t xml:space="preserve"> ascend</w:t>
      </w:r>
      <w:r w:rsidR="007C4FAA">
        <w:t>ē</w:t>
      </w:r>
      <w:r w:rsidR="00C324B6">
        <w:t>s templum Domin</w:t>
      </w:r>
      <w:r w:rsidR="007C4FAA">
        <w:t>ī</w:t>
      </w:r>
      <w:r w:rsidR="00C324B6">
        <w:t xml:space="preserve"> et addam di</w:t>
      </w:r>
      <w:r w:rsidR="007C4FAA">
        <w:t>ē</w:t>
      </w:r>
      <w:r w:rsidR="00C324B6">
        <w:t>bus tu</w:t>
      </w:r>
      <w:r w:rsidR="007C4FAA">
        <w:t>ī</w:t>
      </w:r>
      <w:r w:rsidR="00C324B6">
        <w:t>s qu</w:t>
      </w:r>
      <w:r w:rsidR="007C4FAA">
        <w:t>ī</w:t>
      </w:r>
      <w:r w:rsidR="00C324B6">
        <w:t>ndecim ann</w:t>
      </w:r>
      <w:r w:rsidR="007C4FAA">
        <w:t>ō</w:t>
      </w:r>
      <w:r w:rsidR="00C324B6">
        <w:t>s; sed et d</w:t>
      </w:r>
      <w:r w:rsidR="007C4FAA">
        <w:t>ē</w:t>
      </w:r>
      <w:r w:rsidR="00C324B6">
        <w:t xml:space="preserve"> man</w:t>
      </w:r>
      <w:r w:rsidR="007C4FAA">
        <w:t>ū</w:t>
      </w:r>
      <w:r w:rsidR="00C324B6">
        <w:t xml:space="preserve"> r</w:t>
      </w:r>
      <w:r w:rsidR="007C4FAA">
        <w:t>ē</w:t>
      </w:r>
      <w:r w:rsidR="00C324B6">
        <w:t>gis Assyri</w:t>
      </w:r>
      <w:r w:rsidR="007C4FAA">
        <w:t>ō</w:t>
      </w:r>
      <w:r w:rsidR="00C324B6">
        <w:t>rum l</w:t>
      </w:r>
      <w:r w:rsidR="007C4FAA">
        <w:t>ī</w:t>
      </w:r>
      <w:r w:rsidR="00C324B6">
        <w:t>ber</w:t>
      </w:r>
      <w:r w:rsidR="007C4FAA">
        <w:t>ā</w:t>
      </w:r>
      <w:r w:rsidR="00C324B6">
        <w:t>b</w:t>
      </w:r>
      <w:r w:rsidR="007C4FAA">
        <w:t>ō</w:t>
      </w:r>
      <w:r w:rsidR="00C324B6">
        <w:t xml:space="preserve"> t</w:t>
      </w:r>
      <w:r w:rsidR="007C4FAA">
        <w:t>ē</w:t>
      </w:r>
      <w:r w:rsidR="00C324B6">
        <w:t>, et c</w:t>
      </w:r>
      <w:r w:rsidR="007C4FAA">
        <w:t>ī</w:t>
      </w:r>
      <w:r w:rsidR="00C324B6">
        <w:t>vit</w:t>
      </w:r>
      <w:r w:rsidR="007C4FAA">
        <w:t>ā</w:t>
      </w:r>
      <w:r w:rsidR="00C324B6">
        <w:t>tem hanc, et pr</w:t>
      </w:r>
      <w:r w:rsidR="007C4FAA">
        <w:t>ō</w:t>
      </w:r>
      <w:r w:rsidR="00C324B6">
        <w:t>tegam urbem istam propter m</w:t>
      </w:r>
      <w:r w:rsidR="007C4FAA">
        <w:t>ē</w:t>
      </w:r>
      <w:r w:rsidR="00C324B6">
        <w:t xml:space="preserve"> e</w:t>
      </w:r>
      <w:r w:rsidR="0039026B">
        <w:t>t</w:t>
      </w:r>
      <w:r w:rsidR="00C324B6">
        <w:t xml:space="preserve"> propter David servum meum. D</w:t>
      </w:r>
      <w:r w:rsidR="007C4FAA">
        <w:t>ī</w:t>
      </w:r>
      <w:r w:rsidR="00C324B6">
        <w:t xml:space="preserve">xitque </w:t>
      </w:r>
      <w:r w:rsidR="002F05F7">
        <w:t>Ī</w:t>
      </w:r>
      <w:r w:rsidR="00C324B6">
        <w:t>saias</w:t>
      </w:r>
      <w:r w:rsidR="007C4FAA">
        <w:t>: Afferte massam fī</w:t>
      </w:r>
      <w:r w:rsidR="00C324B6">
        <w:t>c</w:t>
      </w:r>
      <w:r w:rsidR="007C4FAA">
        <w:t>ō</w:t>
      </w:r>
      <w:r w:rsidR="00C324B6">
        <w:t>rum</w:t>
      </w:r>
      <w:r w:rsidR="00C324B6">
        <w:rPr>
          <w:rStyle w:val="FootnoteReference"/>
        </w:rPr>
        <w:footnoteReference w:id="4"/>
      </w:r>
      <w:r w:rsidR="00C324B6">
        <w:t>. Quam cum attulissent, et posuissent super ulcus</w:t>
      </w:r>
      <w:r w:rsidR="00C324B6">
        <w:rPr>
          <w:rStyle w:val="FootnoteReference"/>
        </w:rPr>
        <w:footnoteReference w:id="5"/>
      </w:r>
      <w:r w:rsidR="00C324B6">
        <w:t xml:space="preserve"> ejus, </w:t>
      </w:r>
      <w:r w:rsidR="0039026B">
        <w:t>c</w:t>
      </w:r>
      <w:r w:rsidR="007C4FAA">
        <w:t>ū</w:t>
      </w:r>
      <w:r w:rsidR="0039026B">
        <w:t>r</w:t>
      </w:r>
      <w:r w:rsidR="007C4FAA">
        <w:t>ā</w:t>
      </w:r>
      <w:r w:rsidR="0039026B">
        <w:t>tu</w:t>
      </w:r>
      <w:r w:rsidR="00C324B6">
        <w:t>s est.</w:t>
      </w:r>
    </w:p>
    <w:p w:rsidR="0039026B" w:rsidRDefault="0039026B" w:rsidP="005B78C7">
      <w:pPr>
        <w:jc w:val="both"/>
      </w:pPr>
    </w:p>
    <w:p w:rsidR="00641269" w:rsidRDefault="00641269" w:rsidP="005B78C7">
      <w:pPr>
        <w:jc w:val="both"/>
      </w:pPr>
    </w:p>
    <w:p w:rsidR="002F05F7" w:rsidRDefault="0039026B" w:rsidP="002F05F7">
      <w:pPr>
        <w:jc w:val="both"/>
        <w:rPr>
          <w:lang w:eastAsia="zh-TW"/>
        </w:rPr>
      </w:pPr>
      <w:r>
        <w:rPr>
          <w:i/>
        </w:rPr>
        <w:t>The Reign of King Amon</w:t>
      </w:r>
      <w:r w:rsidR="002F05F7">
        <w:rPr>
          <w:i/>
        </w:rPr>
        <w:t xml:space="preserve">                                                                               </w:t>
      </w:r>
      <w:r w:rsidR="002F05F7">
        <w:rPr>
          <w:lang w:eastAsia="zh-TW"/>
        </w:rPr>
        <w:t>(</w:t>
      </w:r>
      <w:r w:rsidR="002F05F7">
        <w:rPr>
          <w:rFonts w:hint="eastAsia"/>
          <w:lang w:eastAsia="zh-TW"/>
        </w:rPr>
        <w:t>II Kings 20: 19-24</w:t>
      </w:r>
      <w:r w:rsidR="002F05F7">
        <w:rPr>
          <w:lang w:eastAsia="zh-TW"/>
        </w:rPr>
        <w:t>)</w:t>
      </w:r>
    </w:p>
    <w:p w:rsidR="0039026B" w:rsidRDefault="00C83472" w:rsidP="005B78C7">
      <w:pPr>
        <w:jc w:val="both"/>
      </w:pPr>
      <w:r>
        <w:t>Vī</w:t>
      </w:r>
      <w:r w:rsidR="0039026B">
        <w:t>gint</w:t>
      </w:r>
      <w:r>
        <w:t xml:space="preserve">ī </w:t>
      </w:r>
      <w:r w:rsidR="0039026B">
        <w:t>du</w:t>
      </w:r>
      <w:r>
        <w:t>ō</w:t>
      </w:r>
      <w:r w:rsidR="0039026B">
        <w:t>rum ann</w:t>
      </w:r>
      <w:r>
        <w:t>ō</w:t>
      </w:r>
      <w:r w:rsidR="0039026B">
        <w:t>rum erat Amon cum r</w:t>
      </w:r>
      <w:r>
        <w:t>ē</w:t>
      </w:r>
      <w:r w:rsidR="0039026B">
        <w:t>gn</w:t>
      </w:r>
      <w:r>
        <w:t>ā</w:t>
      </w:r>
      <w:r w:rsidR="0039026B">
        <w:t>re cœpisset; du</w:t>
      </w:r>
      <w:r>
        <w:t>ō</w:t>
      </w:r>
      <w:r w:rsidR="0039026B">
        <w:t>bus quoque ann</w:t>
      </w:r>
      <w:r>
        <w:t>ī</w:t>
      </w:r>
      <w:r w:rsidR="0039026B">
        <w:t>s r</w:t>
      </w:r>
      <w:r>
        <w:t>ē</w:t>
      </w:r>
      <w:r w:rsidR="0039026B">
        <w:t>gn</w:t>
      </w:r>
      <w:r>
        <w:t>ā</w:t>
      </w:r>
      <w:r w:rsidR="0039026B">
        <w:t>vit in Jerusalem. F</w:t>
      </w:r>
      <w:r>
        <w:t>ē</w:t>
      </w:r>
      <w:r w:rsidR="0039026B">
        <w:t>citque malum in c</w:t>
      </w:r>
      <w:r>
        <w:t>ō</w:t>
      </w:r>
      <w:r w:rsidR="0039026B">
        <w:t>nspect</w:t>
      </w:r>
      <w:r>
        <w:t>ū</w:t>
      </w:r>
      <w:r w:rsidR="0039026B">
        <w:t xml:space="preserve"> Domin</w:t>
      </w:r>
      <w:r>
        <w:t>ī</w:t>
      </w:r>
      <w:r w:rsidR="0039026B">
        <w:t>, s</w:t>
      </w:r>
      <w:r>
        <w:t>ī</w:t>
      </w:r>
      <w:r w:rsidR="0039026B">
        <w:t>cut f</w:t>
      </w:r>
      <w:r>
        <w:t>ē</w:t>
      </w:r>
      <w:r w:rsidR="0039026B">
        <w:t>cerat Manasses, pater ejus. Et ambul</w:t>
      </w:r>
      <w:r w:rsidR="00140DD8">
        <w:t>ā</w:t>
      </w:r>
      <w:r w:rsidR="0039026B">
        <w:t>vit in omn</w:t>
      </w:r>
      <w:r w:rsidR="00140DD8">
        <w:t>ī</w:t>
      </w:r>
      <w:r w:rsidR="0039026B">
        <w:t xml:space="preserve"> vi</w:t>
      </w:r>
      <w:r w:rsidR="00140DD8">
        <w:t>ā</w:t>
      </w:r>
      <w:r w:rsidR="0039026B">
        <w:t xml:space="preserve"> per quam am</w:t>
      </w:r>
      <w:r w:rsidR="00D8358B">
        <w:t>b</w:t>
      </w:r>
      <w:r w:rsidR="0039026B">
        <w:t>ul</w:t>
      </w:r>
      <w:r w:rsidR="00140DD8">
        <w:t>ā</w:t>
      </w:r>
      <w:r w:rsidR="0039026B">
        <w:t>verat pater ejus, serv</w:t>
      </w:r>
      <w:r w:rsidR="00140DD8">
        <w:t>ī</w:t>
      </w:r>
      <w:r w:rsidR="0039026B">
        <w:t>vitque immunditi</w:t>
      </w:r>
      <w:r w:rsidR="00140DD8">
        <w:t>ī</w:t>
      </w:r>
      <w:r w:rsidR="0039026B">
        <w:t>s</w:t>
      </w:r>
      <w:r w:rsidR="0039026B">
        <w:rPr>
          <w:rStyle w:val="FootnoteReference"/>
        </w:rPr>
        <w:footnoteReference w:id="6"/>
      </w:r>
      <w:r w:rsidR="00D8358B">
        <w:t xml:space="preserve"> quibus servierat pater ejus, et ad</w:t>
      </w:r>
      <w:r w:rsidR="00140DD8">
        <w:t>ō</w:t>
      </w:r>
      <w:r w:rsidR="00D8358B">
        <w:t>r</w:t>
      </w:r>
      <w:r w:rsidR="00140DD8">
        <w:t>ā</w:t>
      </w:r>
      <w:r w:rsidR="00D8358B">
        <w:t>vit e</w:t>
      </w:r>
      <w:r w:rsidR="00140DD8">
        <w:t>ā</w:t>
      </w:r>
      <w:r w:rsidR="00D8358B">
        <w:t>s; et d</w:t>
      </w:r>
      <w:r w:rsidR="00140DD8">
        <w:t>ē</w:t>
      </w:r>
      <w:r w:rsidR="00D8358B">
        <w:t>rel</w:t>
      </w:r>
      <w:r w:rsidR="00140DD8">
        <w:t>ī</w:t>
      </w:r>
      <w:r w:rsidR="00D8358B">
        <w:t>quit</w:t>
      </w:r>
      <w:r w:rsidR="00D8358B">
        <w:rPr>
          <w:rStyle w:val="FootnoteReference"/>
        </w:rPr>
        <w:footnoteReference w:id="7"/>
      </w:r>
      <w:r w:rsidR="00D8358B">
        <w:t xml:space="preserve"> Dominum, Deum pa</w:t>
      </w:r>
      <w:r w:rsidR="00B71D73">
        <w:t>t</w:t>
      </w:r>
      <w:r w:rsidR="00D8358B">
        <w:t>rum su</w:t>
      </w:r>
      <w:r w:rsidR="00140DD8">
        <w:t>ō</w:t>
      </w:r>
      <w:r w:rsidR="00D8358B">
        <w:t>rum, et n</w:t>
      </w:r>
      <w:r w:rsidR="00140DD8">
        <w:t>ō</w:t>
      </w:r>
      <w:r w:rsidR="00D8358B">
        <w:t>n ambul</w:t>
      </w:r>
      <w:r w:rsidR="00140DD8">
        <w:t>ā</w:t>
      </w:r>
      <w:r w:rsidR="00D8358B">
        <w:t>vit in vi</w:t>
      </w:r>
      <w:r w:rsidR="00140DD8">
        <w:t>ā</w:t>
      </w:r>
      <w:r w:rsidR="00D8358B">
        <w:t xml:space="preserve"> Domin</w:t>
      </w:r>
      <w:r w:rsidR="00140DD8">
        <w:t>ī</w:t>
      </w:r>
      <w:r w:rsidR="00D8358B">
        <w:t>. Tetend</w:t>
      </w:r>
      <w:r w:rsidR="00140DD8">
        <w:t>ē</w:t>
      </w:r>
      <w:r w:rsidR="00D8358B">
        <w:t xml:space="preserve">runtque ei </w:t>
      </w:r>
      <w:r w:rsidR="00140DD8">
        <w:t>ī</w:t>
      </w:r>
      <w:r w:rsidR="00D8358B">
        <w:t>nsidias</w:t>
      </w:r>
      <w:r w:rsidR="00D8358B">
        <w:rPr>
          <w:rStyle w:val="FootnoteReference"/>
        </w:rPr>
        <w:footnoteReference w:id="8"/>
      </w:r>
      <w:r w:rsidR="00D8358B">
        <w:t xml:space="preserve"> serv</w:t>
      </w:r>
      <w:r w:rsidR="00140DD8">
        <w:t>ī</w:t>
      </w:r>
      <w:r w:rsidR="00D8358B">
        <w:t xml:space="preserve"> su</w:t>
      </w:r>
      <w:r w:rsidR="00140DD8">
        <w:t>ī</w:t>
      </w:r>
      <w:r w:rsidR="00D8358B">
        <w:t>, et interf</w:t>
      </w:r>
      <w:r w:rsidR="002A755D">
        <w:t>ē</w:t>
      </w:r>
      <w:r w:rsidR="00D8358B">
        <w:t>c</w:t>
      </w:r>
      <w:r w:rsidR="002A755D">
        <w:t>ē</w:t>
      </w:r>
      <w:r w:rsidR="00D8358B">
        <w:t>runt r</w:t>
      </w:r>
      <w:r w:rsidR="002A755D">
        <w:t>ē</w:t>
      </w:r>
      <w:r w:rsidR="00D8358B">
        <w:t>gem in dom</w:t>
      </w:r>
      <w:r w:rsidR="002A755D">
        <w:t>ō</w:t>
      </w:r>
      <w:r w:rsidR="00D8358B">
        <w:t xml:space="preserve"> su</w:t>
      </w:r>
      <w:r w:rsidR="002A755D">
        <w:t>ā</w:t>
      </w:r>
      <w:r w:rsidR="00D8358B">
        <w:t>. Percussit autem populus terræ omn</w:t>
      </w:r>
      <w:r w:rsidR="002A755D">
        <w:t>ē</w:t>
      </w:r>
      <w:r w:rsidR="00D8358B">
        <w:t>s qui conj</w:t>
      </w:r>
      <w:r w:rsidR="002A755D">
        <w:t>ū</w:t>
      </w:r>
      <w:r w:rsidR="00D8358B">
        <w:t>r</w:t>
      </w:r>
      <w:r w:rsidR="002A755D">
        <w:t>ā</w:t>
      </w:r>
      <w:r w:rsidR="00D8358B">
        <w:t>verant</w:t>
      </w:r>
      <w:r w:rsidR="00D8358B">
        <w:rPr>
          <w:rStyle w:val="FootnoteReference"/>
        </w:rPr>
        <w:footnoteReference w:id="9"/>
      </w:r>
      <w:r w:rsidR="00D8358B">
        <w:t xml:space="preserve"> contr</w:t>
      </w:r>
      <w:r w:rsidR="002A755D">
        <w:t>ā</w:t>
      </w:r>
      <w:r w:rsidR="00D8358B">
        <w:t xml:space="preserve"> r</w:t>
      </w:r>
      <w:r w:rsidR="002A755D">
        <w:t>ē</w:t>
      </w:r>
      <w:r w:rsidR="00D8358B">
        <w:t>gem Amon, et c</w:t>
      </w:r>
      <w:r w:rsidR="002A755D">
        <w:t>ō</w:t>
      </w:r>
      <w:r w:rsidR="00D8358B">
        <w:t>ns</w:t>
      </w:r>
      <w:r w:rsidR="002A755D">
        <w:t>t</w:t>
      </w:r>
      <w:r w:rsidR="00D8358B">
        <w:t>itu</w:t>
      </w:r>
      <w:r w:rsidR="002A755D">
        <w:t>ē</w:t>
      </w:r>
      <w:r w:rsidR="00D8358B">
        <w:t>runt sibi r</w:t>
      </w:r>
      <w:r w:rsidR="002A755D">
        <w:t>ē</w:t>
      </w:r>
      <w:r w:rsidR="00D8358B">
        <w:t>gem Jos</w:t>
      </w:r>
      <w:r w:rsidR="002A755D">
        <w:t>ī</w:t>
      </w:r>
      <w:r w:rsidR="00D8358B">
        <w:t>am, f</w:t>
      </w:r>
      <w:r w:rsidR="002A755D">
        <w:t>ī</w:t>
      </w:r>
      <w:r w:rsidR="00D8358B">
        <w:t>lium ejus, pro e</w:t>
      </w:r>
      <w:r w:rsidR="002A755D">
        <w:t>ō</w:t>
      </w:r>
      <w:r w:rsidR="00D8358B">
        <w:t>.</w:t>
      </w:r>
    </w:p>
    <w:p w:rsidR="00FB0E09" w:rsidRDefault="00FB0E09" w:rsidP="005B78C7">
      <w:pPr>
        <w:jc w:val="both"/>
        <w:rPr>
          <w:lang w:eastAsia="zh-TW"/>
        </w:rPr>
      </w:pPr>
    </w:p>
    <w:p w:rsidR="00641269" w:rsidRDefault="00641269" w:rsidP="002F05F7">
      <w:pPr>
        <w:jc w:val="both"/>
        <w:rPr>
          <w:i/>
        </w:rPr>
      </w:pPr>
    </w:p>
    <w:p w:rsidR="00641269" w:rsidRDefault="00641269" w:rsidP="002F05F7">
      <w:pPr>
        <w:jc w:val="both"/>
        <w:rPr>
          <w:i/>
        </w:rPr>
      </w:pPr>
    </w:p>
    <w:p w:rsidR="002F05F7" w:rsidRDefault="00B71D73" w:rsidP="002F05F7">
      <w:pPr>
        <w:jc w:val="both"/>
        <w:rPr>
          <w:lang w:eastAsia="zh-TW"/>
        </w:rPr>
      </w:pPr>
      <w:r>
        <w:rPr>
          <w:i/>
        </w:rPr>
        <w:lastRenderedPageBreak/>
        <w:t>Tobit gives his son, Young Tobit, good advice</w:t>
      </w:r>
      <w:r w:rsidR="002F05F7">
        <w:rPr>
          <w:i/>
        </w:rPr>
        <w:t xml:space="preserve">                                                 </w:t>
      </w:r>
      <w:r w:rsidR="002F05F7">
        <w:rPr>
          <w:lang w:eastAsia="zh-TW"/>
        </w:rPr>
        <w:t>(</w:t>
      </w:r>
      <w:r w:rsidR="002F05F7">
        <w:rPr>
          <w:rFonts w:hint="eastAsia"/>
          <w:lang w:eastAsia="zh-TW"/>
        </w:rPr>
        <w:t>Tobias 4:1-12</w:t>
      </w:r>
      <w:r w:rsidR="002F05F7">
        <w:rPr>
          <w:lang w:eastAsia="zh-TW"/>
        </w:rPr>
        <w:t>)</w:t>
      </w:r>
      <w:r w:rsidR="002F05F7">
        <w:rPr>
          <w:rStyle w:val="FootnoteReference"/>
          <w:lang w:eastAsia="zh-TW"/>
        </w:rPr>
        <w:footnoteReference w:id="10"/>
      </w:r>
    </w:p>
    <w:p w:rsidR="00B71D73" w:rsidRDefault="00B71D73" w:rsidP="005B78C7">
      <w:pPr>
        <w:jc w:val="both"/>
        <w:rPr>
          <w:lang w:val="es-ES"/>
        </w:rPr>
      </w:pPr>
      <w:r>
        <w:t>Tob</w:t>
      </w:r>
      <w:r w:rsidR="00F22BD0">
        <w:t>ī</w:t>
      </w:r>
      <w:r>
        <w:t>as voc</w:t>
      </w:r>
      <w:r w:rsidR="002A755D">
        <w:t>ā</w:t>
      </w:r>
      <w:r>
        <w:t>vit ad se Tob</w:t>
      </w:r>
      <w:r w:rsidR="00F22BD0">
        <w:t>ī</w:t>
      </w:r>
      <w:r>
        <w:t>am, f</w:t>
      </w:r>
      <w:r w:rsidR="00F22BD0">
        <w:t>ī</w:t>
      </w:r>
      <w:r>
        <w:t>lium suum, d</w:t>
      </w:r>
      <w:r w:rsidR="00F22BD0">
        <w:t>ī</w:t>
      </w:r>
      <w:r>
        <w:t>xitque e</w:t>
      </w:r>
      <w:r w:rsidR="00F22BD0">
        <w:t>ī</w:t>
      </w:r>
      <w:r>
        <w:t>: Aud</w:t>
      </w:r>
      <w:r w:rsidR="002F05F7">
        <w:t>ī</w:t>
      </w:r>
      <w:r>
        <w:t>, fil</w:t>
      </w:r>
      <w:r w:rsidR="00F22BD0">
        <w:t>ī</w:t>
      </w:r>
      <w:r>
        <w:t xml:space="preserve"> m</w:t>
      </w:r>
      <w:r w:rsidR="00F22BD0">
        <w:t>ī</w:t>
      </w:r>
      <w:r>
        <w:t xml:space="preserve">, verba </w:t>
      </w:r>
      <w:r w:rsidR="00F22BD0">
        <w:t>ō</w:t>
      </w:r>
      <w:r>
        <w:t>ris me</w:t>
      </w:r>
      <w:r w:rsidR="00F22BD0">
        <w:t>ī</w:t>
      </w:r>
      <w:r>
        <w:t>, et ea in corde tu</w:t>
      </w:r>
      <w:r w:rsidR="00F22BD0">
        <w:t>ō</w:t>
      </w:r>
      <w:r>
        <w:t xml:space="preserve"> quasi fund</w:t>
      </w:r>
      <w:r w:rsidR="00F076A4">
        <w:t>ā</w:t>
      </w:r>
      <w:r>
        <w:t>mentum c</w:t>
      </w:r>
      <w:r w:rsidR="00F22BD0">
        <w:t>ō</w:t>
      </w:r>
      <w:r>
        <w:t>nstrue</w:t>
      </w:r>
      <w:r>
        <w:rPr>
          <w:rStyle w:val="FootnoteReference"/>
        </w:rPr>
        <w:footnoteReference w:id="11"/>
      </w:r>
      <w:r>
        <w:t>. Cum acc</w:t>
      </w:r>
      <w:r w:rsidR="00F22BD0">
        <w:t>ē</w:t>
      </w:r>
      <w:r>
        <w:t>perit Deus animam meam, corpus meum sepel</w:t>
      </w:r>
      <w:r w:rsidR="00F22BD0">
        <w:t>ī</w:t>
      </w:r>
      <w:r>
        <w:rPr>
          <w:rStyle w:val="FootnoteReference"/>
        </w:rPr>
        <w:footnoteReference w:id="12"/>
      </w:r>
      <w:r>
        <w:t>; et hon</w:t>
      </w:r>
      <w:r w:rsidR="00121EDB">
        <w:t>ō</w:t>
      </w:r>
      <w:r>
        <w:t>rem hab</w:t>
      </w:r>
      <w:r w:rsidR="009C4DD1">
        <w:t>ē</w:t>
      </w:r>
      <w:r>
        <w:t>bis matr</w:t>
      </w:r>
      <w:r w:rsidR="009C4DD1">
        <w:t>ī</w:t>
      </w:r>
      <w:r>
        <w:t xml:space="preserve"> tuæ</w:t>
      </w:r>
      <w:r w:rsidR="001F02BD">
        <w:t xml:space="preserve"> omnibus di</w:t>
      </w:r>
      <w:r w:rsidR="009C4DD1">
        <w:t>ē</w:t>
      </w:r>
      <w:r w:rsidR="001F02BD">
        <w:t>bus v</w:t>
      </w:r>
      <w:r w:rsidR="009C4DD1">
        <w:t>ī</w:t>
      </w:r>
      <w:r w:rsidR="001F02BD">
        <w:t>tæ ejus; memor enim esse d</w:t>
      </w:r>
      <w:r w:rsidR="009C4DD1">
        <w:t>ē</w:t>
      </w:r>
      <w:r w:rsidR="001F02BD">
        <w:t>b</w:t>
      </w:r>
      <w:r w:rsidR="009C4DD1">
        <w:t>ē</w:t>
      </w:r>
      <w:r w:rsidR="001F02BD">
        <w:t>s quæ et quanta per</w:t>
      </w:r>
      <w:r w:rsidR="009C4DD1">
        <w:t>ī</w:t>
      </w:r>
      <w:r w:rsidR="001F02BD">
        <w:t>cula passa sit propter t</w:t>
      </w:r>
      <w:r w:rsidR="009C4DD1">
        <w:t>ē</w:t>
      </w:r>
      <w:r w:rsidR="001F02BD">
        <w:t xml:space="preserve"> in uter</w:t>
      </w:r>
      <w:r w:rsidR="00CE5767">
        <w:t>ō</w:t>
      </w:r>
      <w:r w:rsidR="001F02BD">
        <w:t xml:space="preserve"> su</w:t>
      </w:r>
      <w:r w:rsidR="00CE5767">
        <w:t>ō</w:t>
      </w:r>
      <w:r w:rsidR="001F02BD">
        <w:rPr>
          <w:rStyle w:val="FootnoteReference"/>
        </w:rPr>
        <w:footnoteReference w:id="13"/>
      </w:r>
      <w:r w:rsidR="001F02BD">
        <w:t>. Cum autem et ipsa compl</w:t>
      </w:r>
      <w:r w:rsidR="00CE5767">
        <w:t>ē</w:t>
      </w:r>
      <w:r w:rsidR="001F02BD">
        <w:t>verit tempus v</w:t>
      </w:r>
      <w:r w:rsidR="00CE5767">
        <w:t>ī</w:t>
      </w:r>
      <w:r w:rsidR="001F02BD">
        <w:t>tæ suæ, sepeli</w:t>
      </w:r>
      <w:r w:rsidR="00CE5767">
        <w:t>ā</w:t>
      </w:r>
      <w:r w:rsidR="001F02BD">
        <w:t>s eam circ</w:t>
      </w:r>
      <w:r w:rsidR="00CE5767">
        <w:t>ā</w:t>
      </w:r>
      <w:r w:rsidR="001F02BD">
        <w:t xml:space="preserve"> me. Omnibus autem di</w:t>
      </w:r>
      <w:r w:rsidR="00CE5767">
        <w:t>ē</w:t>
      </w:r>
      <w:r w:rsidR="001F02BD">
        <w:t>bus v</w:t>
      </w:r>
      <w:r w:rsidR="00CE5767">
        <w:t>ī</w:t>
      </w:r>
      <w:r w:rsidR="001F02BD">
        <w:t>tæ tuæ in mente hab</w:t>
      </w:r>
      <w:r w:rsidR="00CE5767">
        <w:t>ē</w:t>
      </w:r>
      <w:r w:rsidR="001F02BD">
        <w:t>t</w:t>
      </w:r>
      <w:r w:rsidR="00CE5767">
        <w:t>ō</w:t>
      </w:r>
      <w:r w:rsidR="001F02BD">
        <w:t xml:space="preserve"> Deum, et cav</w:t>
      </w:r>
      <w:r w:rsidR="00CE5767">
        <w:t>ē</w:t>
      </w:r>
      <w:r w:rsidR="001F02BD">
        <w:t xml:space="preserve"> n</w:t>
      </w:r>
      <w:r w:rsidR="00CE5767">
        <w:t>ē</w:t>
      </w:r>
      <w:r w:rsidR="001F02BD">
        <w:t xml:space="preserve"> aliquand</w:t>
      </w:r>
      <w:r w:rsidR="00CE5767">
        <w:t>ō</w:t>
      </w:r>
      <w:r w:rsidR="001F02BD">
        <w:t xml:space="preserve"> pecc</w:t>
      </w:r>
      <w:r w:rsidR="00CE5767">
        <w:t>ā</w:t>
      </w:r>
      <w:r w:rsidR="001F02BD">
        <w:t>t</w:t>
      </w:r>
      <w:r w:rsidR="00CE5767">
        <w:t>ō</w:t>
      </w:r>
      <w:r w:rsidR="001F02BD">
        <w:t xml:space="preserve"> c</w:t>
      </w:r>
      <w:r w:rsidR="00CE5767">
        <w:t>ō</w:t>
      </w:r>
      <w:r w:rsidR="001F02BD">
        <w:t>nsenti</w:t>
      </w:r>
      <w:r w:rsidR="00CE5767">
        <w:t>ā</w:t>
      </w:r>
      <w:r w:rsidR="001F02BD">
        <w:t>s, et prætermitt</w:t>
      </w:r>
      <w:r w:rsidR="00CE5767">
        <w:t>ā</w:t>
      </w:r>
      <w:r w:rsidR="001F02BD">
        <w:t>s præcepta</w:t>
      </w:r>
      <w:r w:rsidR="001F02BD">
        <w:rPr>
          <w:rStyle w:val="FootnoteReference"/>
        </w:rPr>
        <w:footnoteReference w:id="14"/>
      </w:r>
      <w:r w:rsidR="001F02BD">
        <w:t xml:space="preserve"> Domin</w:t>
      </w:r>
      <w:r w:rsidR="00CE5767">
        <w:t>ī</w:t>
      </w:r>
      <w:r w:rsidR="001F02BD">
        <w:t xml:space="preserve"> nostr</w:t>
      </w:r>
      <w:r w:rsidR="00CE5767">
        <w:t>ī</w:t>
      </w:r>
      <w:r w:rsidR="001F02BD">
        <w:t>.</w:t>
      </w:r>
      <w:r w:rsidR="00B6589E">
        <w:t xml:space="preserve"> Ex substanti</w:t>
      </w:r>
      <w:r w:rsidR="00CE5767">
        <w:t>ā</w:t>
      </w:r>
      <w:r w:rsidR="00B6589E">
        <w:t xml:space="preserve"> tu</w:t>
      </w:r>
      <w:r w:rsidR="00CE5767">
        <w:t>ā</w:t>
      </w:r>
      <w:r w:rsidR="00B6589E">
        <w:t xml:space="preserve"> fac ele</w:t>
      </w:r>
      <w:r w:rsidR="002C0166">
        <w:t>ē</w:t>
      </w:r>
      <w:r w:rsidR="00B6589E">
        <w:t>mosynam</w:t>
      </w:r>
      <w:r w:rsidR="00B6589E">
        <w:rPr>
          <w:rStyle w:val="FootnoteReference"/>
        </w:rPr>
        <w:footnoteReference w:id="15"/>
      </w:r>
      <w:r w:rsidR="00B6589E">
        <w:t>, et n</w:t>
      </w:r>
      <w:r w:rsidR="002C0166">
        <w:t>ō</w:t>
      </w:r>
      <w:r w:rsidR="00B6589E">
        <w:t>l</w:t>
      </w:r>
      <w:r w:rsidR="002C0166">
        <w:t>ī</w:t>
      </w:r>
      <w:r w:rsidR="00B6589E">
        <w:t xml:space="preserve"> avertere faciem tuam ab </w:t>
      </w:r>
      <w:r w:rsidR="002C0166">
        <w:t>ū</w:t>
      </w:r>
      <w:r w:rsidR="00B6589E">
        <w:t>ll</w:t>
      </w:r>
      <w:r w:rsidR="002C0166">
        <w:t>ō</w:t>
      </w:r>
      <w:r w:rsidR="00B6589E">
        <w:t xml:space="preserve"> paupere; ita enim fi</w:t>
      </w:r>
      <w:r w:rsidR="005B0E6F">
        <w:t>ē</w:t>
      </w:r>
      <w:r w:rsidR="00B6589E">
        <w:t xml:space="preserve">t, ut nec </w:t>
      </w:r>
      <w:r w:rsidR="005B0E6F">
        <w:t>ā</w:t>
      </w:r>
      <w:r w:rsidR="00B6589E">
        <w:t xml:space="preserve"> t</w:t>
      </w:r>
      <w:r w:rsidR="005B0E6F">
        <w:t>ē</w:t>
      </w:r>
      <w:r w:rsidR="00B6589E">
        <w:t xml:space="preserve"> avert</w:t>
      </w:r>
      <w:r w:rsidR="005B0E6F">
        <w:t>ā</w:t>
      </w:r>
      <w:r w:rsidR="00B6589E">
        <w:t>tur faci</w:t>
      </w:r>
      <w:r w:rsidR="005B0E6F">
        <w:t>ē</w:t>
      </w:r>
      <w:r w:rsidR="00B6589E">
        <w:t xml:space="preserve">s Domini. </w:t>
      </w:r>
      <w:r w:rsidR="00B6589E" w:rsidRPr="000814B7">
        <w:rPr>
          <w:lang w:val="es-ES"/>
        </w:rPr>
        <w:t>Quomod</w:t>
      </w:r>
      <w:r w:rsidR="005B0E6F">
        <w:rPr>
          <w:lang w:val="es-ES"/>
        </w:rPr>
        <w:t>ō</w:t>
      </w:r>
      <w:r w:rsidR="00B6589E" w:rsidRPr="000814B7">
        <w:rPr>
          <w:lang w:val="es-ES"/>
        </w:rPr>
        <w:t xml:space="preserve"> potueris, ita est</w:t>
      </w:r>
      <w:r w:rsidR="005B0E6F">
        <w:rPr>
          <w:lang w:val="es-ES"/>
        </w:rPr>
        <w:t>ō</w:t>
      </w:r>
      <w:r w:rsidR="00B6589E" w:rsidRPr="000814B7">
        <w:rPr>
          <w:lang w:val="es-ES"/>
        </w:rPr>
        <w:t xml:space="preserve"> misericors. S</w:t>
      </w:r>
      <w:r w:rsidR="005B0E6F">
        <w:rPr>
          <w:lang w:val="es-ES"/>
        </w:rPr>
        <w:t>ī</w:t>
      </w:r>
      <w:r w:rsidR="00B6589E" w:rsidRPr="000814B7">
        <w:rPr>
          <w:lang w:val="es-ES"/>
        </w:rPr>
        <w:t xml:space="preserve"> multum tibi fuerit, abunda</w:t>
      </w:r>
      <w:r w:rsidR="005B0E6F">
        <w:rPr>
          <w:lang w:val="es-ES"/>
        </w:rPr>
        <w:t>n</w:t>
      </w:r>
      <w:r w:rsidR="00B6589E" w:rsidRPr="000814B7">
        <w:rPr>
          <w:lang w:val="es-ES"/>
        </w:rPr>
        <w:t>ter tribue; s</w:t>
      </w:r>
      <w:r w:rsidR="005B0E6F">
        <w:rPr>
          <w:lang w:val="es-ES"/>
        </w:rPr>
        <w:t>ī</w:t>
      </w:r>
      <w:r w:rsidR="00B6589E" w:rsidRPr="000814B7">
        <w:rPr>
          <w:lang w:val="es-ES"/>
        </w:rPr>
        <w:t xml:space="preserve"> exiguum tibi fuerit, etiam exiguum libenter impert</w:t>
      </w:r>
      <w:r w:rsidR="005B0E6F">
        <w:rPr>
          <w:lang w:val="es-ES"/>
        </w:rPr>
        <w:t>ī</w:t>
      </w:r>
      <w:r w:rsidR="00B6589E" w:rsidRPr="000814B7">
        <w:rPr>
          <w:lang w:val="es-ES"/>
        </w:rPr>
        <w:t>r</w:t>
      </w:r>
      <w:r w:rsidR="005B0E6F">
        <w:rPr>
          <w:lang w:val="es-ES"/>
        </w:rPr>
        <w:t>ī</w:t>
      </w:r>
      <w:r w:rsidR="00B6589E" w:rsidRPr="000814B7">
        <w:rPr>
          <w:lang w:val="es-ES"/>
        </w:rPr>
        <w:t xml:space="preserve"> stud</w:t>
      </w:r>
      <w:r w:rsidR="005B0E6F">
        <w:rPr>
          <w:lang w:val="es-ES"/>
        </w:rPr>
        <w:t>ē</w:t>
      </w:r>
      <w:r w:rsidR="00B6589E">
        <w:rPr>
          <w:rStyle w:val="FootnoteReference"/>
        </w:rPr>
        <w:footnoteReference w:id="16"/>
      </w:r>
      <w:r w:rsidR="00B6589E" w:rsidRPr="000814B7">
        <w:rPr>
          <w:lang w:val="es-ES"/>
        </w:rPr>
        <w:t xml:space="preserve">. </w:t>
      </w:r>
      <w:r w:rsidR="00B6589E" w:rsidRPr="005B0E6F">
        <w:rPr>
          <w:lang w:val="es-ES"/>
        </w:rPr>
        <w:t>Præmium enim bonum tibi th</w:t>
      </w:r>
      <w:r w:rsidR="005B0E6F">
        <w:rPr>
          <w:lang w:val="es-ES"/>
        </w:rPr>
        <w:t>ē</w:t>
      </w:r>
      <w:r w:rsidR="00B6589E" w:rsidRPr="005B0E6F">
        <w:rPr>
          <w:lang w:val="es-ES"/>
        </w:rPr>
        <w:t>sauriz</w:t>
      </w:r>
      <w:r w:rsidR="005B0E6F">
        <w:rPr>
          <w:lang w:val="es-ES"/>
        </w:rPr>
        <w:t>ā</w:t>
      </w:r>
      <w:r w:rsidR="00B6589E" w:rsidRPr="005B0E6F">
        <w:rPr>
          <w:lang w:val="es-ES"/>
        </w:rPr>
        <w:t>s in di</w:t>
      </w:r>
      <w:r w:rsidR="005B0E6F">
        <w:rPr>
          <w:lang w:val="es-ES"/>
        </w:rPr>
        <w:t>ē</w:t>
      </w:r>
      <w:r w:rsidR="00B6589E" w:rsidRPr="005B0E6F">
        <w:rPr>
          <w:lang w:val="es-ES"/>
        </w:rPr>
        <w:t xml:space="preserve"> necessit</w:t>
      </w:r>
      <w:r w:rsidR="005B0E6F">
        <w:rPr>
          <w:lang w:val="es-ES"/>
        </w:rPr>
        <w:t>ā</w:t>
      </w:r>
      <w:r w:rsidR="00B6589E" w:rsidRPr="005B0E6F">
        <w:rPr>
          <w:lang w:val="es-ES"/>
        </w:rPr>
        <w:t>tis</w:t>
      </w:r>
      <w:r w:rsidR="00B6589E">
        <w:rPr>
          <w:rStyle w:val="FootnoteReference"/>
        </w:rPr>
        <w:footnoteReference w:id="17"/>
      </w:r>
      <w:r w:rsidR="00B6589E" w:rsidRPr="005B0E6F">
        <w:rPr>
          <w:lang w:val="es-ES"/>
        </w:rPr>
        <w:t>; quoniam ele</w:t>
      </w:r>
      <w:r w:rsidR="005B0E6F" w:rsidRPr="005B0E6F">
        <w:rPr>
          <w:lang w:val="es-ES"/>
        </w:rPr>
        <w:t>ē</w:t>
      </w:r>
      <w:r w:rsidR="00B6589E" w:rsidRPr="005B0E6F">
        <w:rPr>
          <w:lang w:val="es-ES"/>
        </w:rPr>
        <w:t>mosyna ab omn</w:t>
      </w:r>
      <w:r w:rsidR="005B0E6F" w:rsidRPr="005B0E6F">
        <w:rPr>
          <w:lang w:val="es-ES"/>
        </w:rPr>
        <w:t>ī</w:t>
      </w:r>
      <w:r w:rsidR="00B6589E" w:rsidRPr="005B0E6F">
        <w:rPr>
          <w:lang w:val="es-ES"/>
        </w:rPr>
        <w:t xml:space="preserve"> pecc</w:t>
      </w:r>
      <w:r w:rsidR="005B0E6F" w:rsidRPr="005B0E6F">
        <w:rPr>
          <w:lang w:val="es-ES"/>
        </w:rPr>
        <w:t>ā</w:t>
      </w:r>
      <w:r w:rsidR="00B6589E" w:rsidRPr="005B0E6F">
        <w:rPr>
          <w:lang w:val="es-ES"/>
        </w:rPr>
        <w:t>t</w:t>
      </w:r>
      <w:r w:rsidR="005B0E6F" w:rsidRPr="005B0E6F">
        <w:rPr>
          <w:lang w:val="es-ES"/>
        </w:rPr>
        <w:t>ō</w:t>
      </w:r>
      <w:r w:rsidR="00B6589E" w:rsidRPr="005B0E6F">
        <w:rPr>
          <w:lang w:val="es-ES"/>
        </w:rPr>
        <w:t xml:space="preserve"> et </w:t>
      </w:r>
      <w:r w:rsidR="005B0E6F" w:rsidRPr="005B0E6F">
        <w:rPr>
          <w:lang w:val="es-ES"/>
        </w:rPr>
        <w:t>ā</w:t>
      </w:r>
      <w:r w:rsidR="00B6589E" w:rsidRPr="005B0E6F">
        <w:rPr>
          <w:lang w:val="es-ES"/>
        </w:rPr>
        <w:t xml:space="preserve"> morte l</w:t>
      </w:r>
      <w:r w:rsidR="005B0E6F" w:rsidRPr="005B0E6F">
        <w:rPr>
          <w:lang w:val="es-ES"/>
        </w:rPr>
        <w:t>ī</w:t>
      </w:r>
      <w:r w:rsidR="00B6589E" w:rsidRPr="005B0E6F">
        <w:rPr>
          <w:lang w:val="es-ES"/>
        </w:rPr>
        <w:t>berat, et n</w:t>
      </w:r>
      <w:r w:rsidR="005B0E6F" w:rsidRPr="005B0E6F">
        <w:rPr>
          <w:lang w:val="es-ES"/>
        </w:rPr>
        <w:t>ō</w:t>
      </w:r>
      <w:r w:rsidR="00B6589E" w:rsidRPr="005B0E6F">
        <w:rPr>
          <w:lang w:val="es-ES"/>
        </w:rPr>
        <w:t>n pati</w:t>
      </w:r>
      <w:r w:rsidR="005B0E6F" w:rsidRPr="005B0E6F">
        <w:rPr>
          <w:lang w:val="es-ES"/>
        </w:rPr>
        <w:t>ē</w:t>
      </w:r>
      <w:r w:rsidR="00B6589E" w:rsidRPr="005B0E6F">
        <w:rPr>
          <w:lang w:val="es-ES"/>
        </w:rPr>
        <w:t xml:space="preserve">tur animam </w:t>
      </w:r>
      <w:r w:rsidR="005B0E6F" w:rsidRPr="005B0E6F">
        <w:rPr>
          <w:lang w:val="es-ES"/>
        </w:rPr>
        <w:t>ī</w:t>
      </w:r>
      <w:r w:rsidR="00B6589E" w:rsidRPr="005B0E6F">
        <w:rPr>
          <w:lang w:val="es-ES"/>
        </w:rPr>
        <w:t>re in ten</w:t>
      </w:r>
      <w:r w:rsidR="00962479" w:rsidRPr="005B0E6F">
        <w:rPr>
          <w:lang w:val="es-ES"/>
        </w:rPr>
        <w:t>e</w:t>
      </w:r>
      <w:r w:rsidR="00B6589E" w:rsidRPr="005B0E6F">
        <w:rPr>
          <w:lang w:val="es-ES"/>
        </w:rPr>
        <w:t>br</w:t>
      </w:r>
      <w:r w:rsidR="005B0E6F" w:rsidRPr="005B0E6F">
        <w:rPr>
          <w:lang w:val="es-ES"/>
        </w:rPr>
        <w:t>ā</w:t>
      </w:r>
      <w:r w:rsidR="00B6589E" w:rsidRPr="005B0E6F">
        <w:rPr>
          <w:lang w:val="es-ES"/>
        </w:rPr>
        <w:t>s</w:t>
      </w:r>
      <w:r w:rsidR="00B6589E">
        <w:rPr>
          <w:rStyle w:val="FootnoteReference"/>
        </w:rPr>
        <w:footnoteReference w:id="18"/>
      </w:r>
      <w:r w:rsidR="00962479" w:rsidRPr="005B0E6F">
        <w:rPr>
          <w:lang w:val="es-ES"/>
        </w:rPr>
        <w:t>: f</w:t>
      </w:r>
      <w:r w:rsidR="005B0E6F">
        <w:rPr>
          <w:lang w:val="es-ES"/>
        </w:rPr>
        <w:t>ī</w:t>
      </w:r>
      <w:r w:rsidR="00962479" w:rsidRPr="005B0E6F">
        <w:rPr>
          <w:lang w:val="es-ES"/>
        </w:rPr>
        <w:t>d</w:t>
      </w:r>
      <w:r w:rsidR="005B0E6F">
        <w:rPr>
          <w:lang w:val="es-ES"/>
        </w:rPr>
        <w:t>ū</w:t>
      </w:r>
      <w:r w:rsidR="00962479" w:rsidRPr="005B0E6F">
        <w:rPr>
          <w:lang w:val="es-ES"/>
        </w:rPr>
        <w:t>cia magna</w:t>
      </w:r>
      <w:r w:rsidR="00962479">
        <w:rPr>
          <w:rStyle w:val="FootnoteReference"/>
        </w:rPr>
        <w:footnoteReference w:id="19"/>
      </w:r>
      <w:r w:rsidR="00962479" w:rsidRPr="005B0E6F">
        <w:rPr>
          <w:lang w:val="es-ES"/>
        </w:rPr>
        <w:t xml:space="preserve"> erit c</w:t>
      </w:r>
      <w:r w:rsidR="005B0E6F">
        <w:rPr>
          <w:lang w:val="es-ES"/>
        </w:rPr>
        <w:t>ō</w:t>
      </w:r>
      <w:r w:rsidR="00962479" w:rsidRPr="005B0E6F">
        <w:rPr>
          <w:lang w:val="es-ES"/>
        </w:rPr>
        <w:t>ram summ</w:t>
      </w:r>
      <w:r w:rsidR="005B0E6F">
        <w:rPr>
          <w:lang w:val="es-ES"/>
        </w:rPr>
        <w:t>ō</w:t>
      </w:r>
      <w:r w:rsidR="00962479" w:rsidRPr="005B0E6F">
        <w:rPr>
          <w:lang w:val="es-ES"/>
        </w:rPr>
        <w:t xml:space="preserve"> De</w:t>
      </w:r>
      <w:r w:rsidR="005B0E6F">
        <w:rPr>
          <w:lang w:val="es-ES"/>
        </w:rPr>
        <w:t>ō</w:t>
      </w:r>
      <w:r w:rsidR="00962479" w:rsidRPr="005B0E6F">
        <w:rPr>
          <w:lang w:val="es-ES"/>
        </w:rPr>
        <w:t xml:space="preserve"> ele</w:t>
      </w:r>
      <w:r w:rsidR="005B0E6F" w:rsidRPr="005B0E6F">
        <w:rPr>
          <w:lang w:val="es-ES"/>
        </w:rPr>
        <w:t>ē</w:t>
      </w:r>
      <w:r w:rsidR="00962479" w:rsidRPr="005B0E6F">
        <w:rPr>
          <w:lang w:val="es-ES"/>
        </w:rPr>
        <w:t>mosyna, omnibus facientibus eam.</w:t>
      </w:r>
    </w:p>
    <w:p w:rsidR="00083A3C" w:rsidRPr="005B0E6F" w:rsidRDefault="00083A3C" w:rsidP="005B78C7">
      <w:pPr>
        <w:jc w:val="both"/>
        <w:rPr>
          <w:lang w:val="es-ES"/>
        </w:rPr>
      </w:pPr>
    </w:p>
    <w:p w:rsidR="00962479" w:rsidRPr="002F05F7" w:rsidRDefault="00962479" w:rsidP="002F05F7">
      <w:pPr>
        <w:rPr>
          <w:lang w:eastAsia="zh-TW"/>
        </w:rPr>
      </w:pPr>
      <w:r>
        <w:rPr>
          <w:i/>
        </w:rPr>
        <w:t>The Psalmist sings of the Blessed Man</w:t>
      </w:r>
      <w:r w:rsidR="002F05F7">
        <w:rPr>
          <w:i/>
        </w:rPr>
        <w:t xml:space="preserve">                                                                    </w:t>
      </w:r>
      <w:r w:rsidR="002F05F7">
        <w:rPr>
          <w:lang w:eastAsia="zh-TW"/>
        </w:rPr>
        <w:t>(P</w:t>
      </w:r>
      <w:r w:rsidR="002F05F7">
        <w:rPr>
          <w:rFonts w:hint="eastAsia"/>
          <w:lang w:eastAsia="zh-TW"/>
        </w:rPr>
        <w:t xml:space="preserve">alms </w:t>
      </w:r>
      <w:r w:rsidR="002F05F7">
        <w:rPr>
          <w:lang w:eastAsia="zh-TW"/>
        </w:rPr>
        <w:t>I)</w:t>
      </w:r>
    </w:p>
    <w:p w:rsidR="00962479" w:rsidRDefault="00962479" w:rsidP="008970E1">
      <w:pPr>
        <w:spacing w:after="0"/>
        <w:jc w:val="both"/>
      </w:pPr>
      <w:r>
        <w:t>Beatus vir qu</w:t>
      </w:r>
      <w:r w:rsidR="000C24DC">
        <w:t>ī</w:t>
      </w:r>
      <w:r>
        <w:t xml:space="preserve"> n</w:t>
      </w:r>
      <w:r w:rsidR="000C24DC">
        <w:t>ō</w:t>
      </w:r>
      <w:r>
        <w:t>n abiit in c</w:t>
      </w:r>
      <w:r w:rsidR="000C24DC">
        <w:t>ō</w:t>
      </w:r>
      <w:r>
        <w:t>nsili</w:t>
      </w:r>
      <w:r w:rsidR="000C24DC">
        <w:t>ō</w:t>
      </w:r>
      <w:r w:rsidR="008970E1">
        <w:rPr>
          <w:rStyle w:val="FootnoteReference"/>
        </w:rPr>
        <w:footnoteReference w:id="20"/>
      </w:r>
      <w:r>
        <w:t xml:space="preserve"> impi</w:t>
      </w:r>
      <w:r w:rsidR="000C24DC">
        <w:t>ō</w:t>
      </w:r>
      <w:r>
        <w:t>rum,</w:t>
      </w:r>
    </w:p>
    <w:p w:rsidR="00962479" w:rsidRDefault="00962479" w:rsidP="008970E1">
      <w:pPr>
        <w:spacing w:after="0"/>
        <w:jc w:val="both"/>
      </w:pPr>
      <w:r>
        <w:t xml:space="preserve">et in </w:t>
      </w:r>
      <w:r w:rsidR="008970E1">
        <w:t>vi</w:t>
      </w:r>
      <w:r w:rsidR="000C24DC">
        <w:t>ā</w:t>
      </w:r>
      <w:r w:rsidR="008970E1">
        <w:t xml:space="preserve"> pecc</w:t>
      </w:r>
      <w:r w:rsidR="000C24DC">
        <w:t>ā</w:t>
      </w:r>
      <w:r w:rsidR="008970E1">
        <w:t>t</w:t>
      </w:r>
      <w:r w:rsidR="000C24DC">
        <w:t>ō</w:t>
      </w:r>
      <w:r w:rsidR="008970E1">
        <w:t>rum n</w:t>
      </w:r>
      <w:r w:rsidR="000C24DC">
        <w:t>ō</w:t>
      </w:r>
      <w:r w:rsidR="008970E1">
        <w:t>n stetit,</w:t>
      </w:r>
    </w:p>
    <w:p w:rsidR="008970E1" w:rsidRDefault="008970E1" w:rsidP="008970E1">
      <w:pPr>
        <w:spacing w:after="0"/>
        <w:jc w:val="both"/>
      </w:pPr>
      <w:r>
        <w:t>et in cathedr</w:t>
      </w:r>
      <w:r w:rsidR="000C24DC">
        <w:t>ā</w:t>
      </w:r>
      <w:r>
        <w:rPr>
          <w:rStyle w:val="FootnoteReference"/>
        </w:rPr>
        <w:footnoteReference w:id="21"/>
      </w:r>
      <w:r>
        <w:t xml:space="preserve"> pestilentiæ n</w:t>
      </w:r>
      <w:r w:rsidR="00A10E58">
        <w:t>ō</w:t>
      </w:r>
      <w:r>
        <w:t>n s</w:t>
      </w:r>
      <w:r w:rsidR="00A10E58">
        <w:t>ē</w:t>
      </w:r>
      <w:r>
        <w:t>dit;</w:t>
      </w:r>
    </w:p>
    <w:p w:rsidR="008970E1" w:rsidRDefault="008970E1" w:rsidP="008970E1">
      <w:pPr>
        <w:spacing w:after="0"/>
        <w:jc w:val="both"/>
      </w:pPr>
      <w:r>
        <w:t>sed in l</w:t>
      </w:r>
      <w:r w:rsidR="00A10E58">
        <w:t>ē</w:t>
      </w:r>
      <w:r>
        <w:t>ge Domin</w:t>
      </w:r>
      <w:r w:rsidR="00A10E58">
        <w:t xml:space="preserve">ī </w:t>
      </w:r>
      <w:r>
        <w:t>volunt</w:t>
      </w:r>
      <w:r w:rsidR="00A10E58">
        <w:t>ā</w:t>
      </w:r>
      <w:r>
        <w:t>s ejus,</w:t>
      </w:r>
    </w:p>
    <w:p w:rsidR="008970E1" w:rsidRDefault="008970E1" w:rsidP="008970E1">
      <w:pPr>
        <w:spacing w:after="0"/>
        <w:jc w:val="both"/>
      </w:pPr>
      <w:r>
        <w:t>et in l</w:t>
      </w:r>
      <w:r w:rsidR="00A10E58">
        <w:t>ē</w:t>
      </w:r>
      <w:r>
        <w:t>ge ejus medit</w:t>
      </w:r>
      <w:r w:rsidR="00A10E58">
        <w:t>ā</w:t>
      </w:r>
      <w:r>
        <w:t>bitur di</w:t>
      </w:r>
      <w:r w:rsidR="00A10E58">
        <w:t>ē</w:t>
      </w:r>
      <w:r>
        <w:t xml:space="preserve"> ac nocte.</w:t>
      </w:r>
    </w:p>
    <w:p w:rsidR="008970E1" w:rsidRDefault="008970E1" w:rsidP="008970E1">
      <w:pPr>
        <w:spacing w:after="0"/>
        <w:jc w:val="both"/>
      </w:pPr>
      <w:r>
        <w:t>Et erit tanquam lignum quod plant</w:t>
      </w:r>
      <w:r w:rsidR="00A10E58">
        <w:t>ā</w:t>
      </w:r>
      <w:r>
        <w:t>tum est secus d</w:t>
      </w:r>
      <w:r w:rsidR="00A10E58">
        <w:t>ē</w:t>
      </w:r>
      <w:r>
        <w:t>cursus aquarum</w:t>
      </w:r>
      <w:r>
        <w:rPr>
          <w:rStyle w:val="FootnoteReference"/>
        </w:rPr>
        <w:footnoteReference w:id="22"/>
      </w:r>
      <w:r>
        <w:t>,</w:t>
      </w:r>
    </w:p>
    <w:p w:rsidR="008970E1" w:rsidRDefault="008970E1" w:rsidP="008970E1">
      <w:pPr>
        <w:spacing w:after="0"/>
        <w:jc w:val="both"/>
      </w:pPr>
      <w:r>
        <w:t>Quod fr</w:t>
      </w:r>
      <w:r w:rsidR="00BF157C">
        <w:t>ū</w:t>
      </w:r>
      <w:r>
        <w:t>ctum suum dabit</w:t>
      </w:r>
      <w:r w:rsidR="006F7700">
        <w:rPr>
          <w:rStyle w:val="FootnoteReference"/>
        </w:rPr>
        <w:footnoteReference w:id="23"/>
      </w:r>
      <w:r>
        <w:t xml:space="preserve"> in tempore su</w:t>
      </w:r>
      <w:r w:rsidR="006F7700">
        <w:t>ō</w:t>
      </w:r>
    </w:p>
    <w:p w:rsidR="008970E1" w:rsidRDefault="008970E1" w:rsidP="008970E1">
      <w:pPr>
        <w:spacing w:after="0"/>
        <w:jc w:val="both"/>
      </w:pPr>
      <w:r>
        <w:lastRenderedPageBreak/>
        <w:t>Et f</w:t>
      </w:r>
      <w:r w:rsidR="00EA4E8A">
        <w:t>ō</w:t>
      </w:r>
      <w:r>
        <w:t>lium ejus n</w:t>
      </w:r>
      <w:r w:rsidR="00EA4E8A">
        <w:t>ō</w:t>
      </w:r>
      <w:r>
        <w:t>n d</w:t>
      </w:r>
      <w:r w:rsidR="00EA4E8A">
        <w:t>ē</w:t>
      </w:r>
      <w:r>
        <w:t>fluet</w:t>
      </w:r>
      <w:r w:rsidR="00A00A35">
        <w:rPr>
          <w:rStyle w:val="FootnoteReference"/>
        </w:rPr>
        <w:footnoteReference w:id="24"/>
      </w:r>
      <w:r>
        <w:t>;</w:t>
      </w:r>
    </w:p>
    <w:p w:rsidR="008970E1" w:rsidRDefault="008970E1" w:rsidP="008970E1">
      <w:pPr>
        <w:spacing w:after="0"/>
        <w:jc w:val="both"/>
      </w:pPr>
      <w:r>
        <w:t>Et omnia quæcumque faciet prosper</w:t>
      </w:r>
      <w:r w:rsidR="00EA4E8A">
        <w:t>ā</w:t>
      </w:r>
      <w:r>
        <w:t>buntur.</w:t>
      </w:r>
    </w:p>
    <w:p w:rsidR="008970E1" w:rsidRDefault="008970E1" w:rsidP="008970E1">
      <w:pPr>
        <w:spacing w:after="0"/>
        <w:jc w:val="both"/>
      </w:pPr>
      <w:r>
        <w:t>N</w:t>
      </w:r>
      <w:r w:rsidR="00EA4E8A">
        <w:t>ō</w:t>
      </w:r>
      <w:r>
        <w:t>n s</w:t>
      </w:r>
      <w:r w:rsidR="00EA4E8A">
        <w:t>ī</w:t>
      </w:r>
      <w:r>
        <w:t>c impi</w:t>
      </w:r>
      <w:r w:rsidR="0029079F">
        <w:t>ī</w:t>
      </w:r>
      <w:r>
        <w:t>, n</w:t>
      </w:r>
      <w:r w:rsidR="00EA4E8A">
        <w:t>ō</w:t>
      </w:r>
      <w:r>
        <w:t>n s</w:t>
      </w:r>
      <w:r w:rsidR="00BF157C">
        <w:t>ī</w:t>
      </w:r>
      <w:r>
        <w:t>c;</w:t>
      </w:r>
    </w:p>
    <w:p w:rsidR="008970E1" w:rsidRPr="000814B7" w:rsidRDefault="008970E1" w:rsidP="008970E1">
      <w:pPr>
        <w:spacing w:after="0"/>
        <w:jc w:val="both"/>
        <w:rPr>
          <w:lang w:val="es-ES"/>
        </w:rPr>
      </w:pPr>
      <w:r w:rsidRPr="000814B7">
        <w:rPr>
          <w:lang w:val="es-ES"/>
        </w:rPr>
        <w:t>Sed tanquam pulvis</w:t>
      </w:r>
      <w:r>
        <w:rPr>
          <w:rStyle w:val="FootnoteReference"/>
        </w:rPr>
        <w:footnoteReference w:id="25"/>
      </w:r>
      <w:r w:rsidRPr="000814B7">
        <w:rPr>
          <w:lang w:val="es-ES"/>
        </w:rPr>
        <w:t xml:space="preserve"> quem pr</w:t>
      </w:r>
      <w:r w:rsidR="00EA4E8A">
        <w:rPr>
          <w:lang w:val="es-ES"/>
        </w:rPr>
        <w:t>ō</w:t>
      </w:r>
      <w:r w:rsidRPr="000814B7">
        <w:rPr>
          <w:lang w:val="es-ES"/>
        </w:rPr>
        <w:t xml:space="preserve">jicit ventus </w:t>
      </w:r>
      <w:r w:rsidR="00E94116">
        <w:rPr>
          <w:lang w:val="es-ES"/>
        </w:rPr>
        <w:t>ā</w:t>
      </w:r>
      <w:r w:rsidRPr="000814B7">
        <w:rPr>
          <w:lang w:val="es-ES"/>
        </w:rPr>
        <w:t xml:space="preserve"> faci</w:t>
      </w:r>
      <w:r w:rsidR="00EA4E8A">
        <w:rPr>
          <w:lang w:val="es-ES"/>
        </w:rPr>
        <w:t>ē</w:t>
      </w:r>
      <w:r w:rsidRPr="000814B7">
        <w:rPr>
          <w:lang w:val="es-ES"/>
        </w:rPr>
        <w:t xml:space="preserve"> terræ.</w:t>
      </w:r>
    </w:p>
    <w:p w:rsidR="008970E1" w:rsidRDefault="008970E1" w:rsidP="008970E1">
      <w:pPr>
        <w:spacing w:after="0"/>
        <w:jc w:val="both"/>
      </w:pPr>
      <w:r>
        <w:t>Ide</w:t>
      </w:r>
      <w:r w:rsidR="00EA4E8A">
        <w:t>ō</w:t>
      </w:r>
      <w:r>
        <w:t xml:space="preserve"> n</w:t>
      </w:r>
      <w:r w:rsidR="00EA4E8A">
        <w:t>ō</w:t>
      </w:r>
      <w:r>
        <w:t>n resurgent</w:t>
      </w:r>
      <w:r w:rsidR="00A00A35">
        <w:rPr>
          <w:rStyle w:val="FootnoteReference"/>
        </w:rPr>
        <w:footnoteReference w:id="26"/>
      </w:r>
      <w:r>
        <w:t xml:space="preserve"> impi</w:t>
      </w:r>
      <w:r w:rsidR="00EA4E8A">
        <w:t>ī</w:t>
      </w:r>
      <w:r>
        <w:t xml:space="preserve"> in judici</w:t>
      </w:r>
      <w:r w:rsidR="00EA4E8A">
        <w:t>ō</w:t>
      </w:r>
      <w:r>
        <w:t>,</w:t>
      </w:r>
    </w:p>
    <w:p w:rsidR="008970E1" w:rsidRDefault="008970E1" w:rsidP="008970E1">
      <w:pPr>
        <w:spacing w:after="0"/>
        <w:jc w:val="both"/>
      </w:pPr>
      <w:r>
        <w:t>Neque pecc</w:t>
      </w:r>
      <w:r w:rsidR="00F73364">
        <w:t>ā</w:t>
      </w:r>
      <w:r>
        <w:t>t</w:t>
      </w:r>
      <w:r w:rsidR="00F73364">
        <w:t>ō</w:t>
      </w:r>
      <w:r>
        <w:t>r</w:t>
      </w:r>
      <w:r w:rsidR="00F73364">
        <w:t>ē</w:t>
      </w:r>
      <w:r>
        <w:t>s in concili</w:t>
      </w:r>
      <w:r w:rsidR="00F73364">
        <w:t>ō</w:t>
      </w:r>
      <w:r>
        <w:t xml:space="preserve"> j</w:t>
      </w:r>
      <w:r w:rsidR="00F73364">
        <w:t>ū</w:t>
      </w:r>
      <w:r>
        <w:t>st</w:t>
      </w:r>
      <w:r w:rsidR="00F73364">
        <w:t>ō</w:t>
      </w:r>
      <w:r>
        <w:t>rum,</w:t>
      </w:r>
    </w:p>
    <w:p w:rsidR="008970E1" w:rsidRDefault="008970E1" w:rsidP="008970E1">
      <w:pPr>
        <w:spacing w:after="0"/>
        <w:jc w:val="both"/>
      </w:pPr>
      <w:r>
        <w:t>Quoniam n</w:t>
      </w:r>
      <w:r w:rsidR="00F73364">
        <w:t>ō</w:t>
      </w:r>
      <w:r>
        <w:t>vit Dominus viam j</w:t>
      </w:r>
      <w:r w:rsidR="00F73364">
        <w:t>ū</w:t>
      </w:r>
      <w:r>
        <w:t>st</w:t>
      </w:r>
      <w:r w:rsidR="00F73364">
        <w:t>ō</w:t>
      </w:r>
      <w:r>
        <w:t>rum;</w:t>
      </w:r>
    </w:p>
    <w:p w:rsidR="008970E1" w:rsidRDefault="008970E1" w:rsidP="008970E1">
      <w:pPr>
        <w:spacing w:after="0"/>
        <w:jc w:val="both"/>
      </w:pPr>
      <w:r>
        <w:t>Et iter impi</w:t>
      </w:r>
      <w:r w:rsidR="00F73364">
        <w:t>ō</w:t>
      </w:r>
      <w:r>
        <w:t>rum per</w:t>
      </w:r>
      <w:r w:rsidR="00F73364">
        <w:t>ī</w:t>
      </w:r>
      <w:r>
        <w:t>ibit.</w:t>
      </w:r>
    </w:p>
    <w:p w:rsidR="00641269" w:rsidRDefault="00641269" w:rsidP="008970E1">
      <w:pPr>
        <w:spacing w:after="0"/>
        <w:jc w:val="both"/>
      </w:pPr>
    </w:p>
    <w:p w:rsidR="00083A3C" w:rsidRDefault="00083A3C" w:rsidP="008970E1">
      <w:pPr>
        <w:spacing w:after="0"/>
        <w:jc w:val="both"/>
      </w:pPr>
    </w:p>
    <w:p w:rsidR="002F05F7" w:rsidRDefault="00A00A35" w:rsidP="002F05F7">
      <w:pPr>
        <w:spacing w:after="0"/>
        <w:jc w:val="both"/>
        <w:rPr>
          <w:lang w:eastAsia="zh-TW"/>
        </w:rPr>
      </w:pPr>
      <w:r>
        <w:rPr>
          <w:i/>
        </w:rPr>
        <w:t>Isaiah Prophesises the coming of the Messiah</w:t>
      </w:r>
      <w:r w:rsidR="002F05F7">
        <w:rPr>
          <w:i/>
        </w:rPr>
        <w:t xml:space="preserve">                                            </w:t>
      </w:r>
      <w:r w:rsidR="00BF157C">
        <w:rPr>
          <w:iCs/>
        </w:rPr>
        <w:t>(</w:t>
      </w:r>
      <w:r w:rsidR="002F05F7">
        <w:rPr>
          <w:rFonts w:hint="eastAsia"/>
          <w:lang w:eastAsia="zh-TW"/>
        </w:rPr>
        <w:t xml:space="preserve">Isaias </w:t>
      </w:r>
      <w:r w:rsidR="002F05F7">
        <w:rPr>
          <w:lang w:eastAsia="zh-TW"/>
        </w:rPr>
        <w:t>11</w:t>
      </w:r>
      <w:r w:rsidR="002F05F7">
        <w:rPr>
          <w:rFonts w:hint="eastAsia"/>
          <w:lang w:eastAsia="zh-TW"/>
        </w:rPr>
        <w:t>: 1-5</w:t>
      </w:r>
      <w:r w:rsidR="00BF157C">
        <w:rPr>
          <w:lang w:eastAsia="zh-TW"/>
        </w:rPr>
        <w:t>)</w:t>
      </w:r>
    </w:p>
    <w:p w:rsidR="00A00A35" w:rsidRDefault="00A00A35" w:rsidP="008970E1">
      <w:pPr>
        <w:spacing w:after="0"/>
        <w:jc w:val="both"/>
        <w:rPr>
          <w:i/>
        </w:rPr>
      </w:pPr>
    </w:p>
    <w:p w:rsidR="00A00A35" w:rsidRPr="000814B7" w:rsidRDefault="00A00A35" w:rsidP="008970E1">
      <w:pPr>
        <w:spacing w:after="0"/>
        <w:jc w:val="both"/>
        <w:rPr>
          <w:lang w:val="es-ES"/>
        </w:rPr>
      </w:pPr>
      <w:r w:rsidRPr="000814B7">
        <w:rPr>
          <w:lang w:val="es-ES"/>
        </w:rPr>
        <w:t xml:space="preserve">Et </w:t>
      </w:r>
      <w:r w:rsidR="00F73364">
        <w:rPr>
          <w:lang w:val="es-ES"/>
        </w:rPr>
        <w:t>ē</w:t>
      </w:r>
      <w:r w:rsidRPr="000814B7">
        <w:rPr>
          <w:lang w:val="es-ES"/>
        </w:rPr>
        <w:t>gredi</w:t>
      </w:r>
      <w:r w:rsidR="0064363E" w:rsidRPr="000814B7">
        <w:rPr>
          <w:lang w:val="es-ES"/>
        </w:rPr>
        <w:t>e</w:t>
      </w:r>
      <w:r w:rsidRPr="000814B7">
        <w:rPr>
          <w:lang w:val="es-ES"/>
        </w:rPr>
        <w:t>tur virga</w:t>
      </w:r>
      <w:r w:rsidR="0064363E">
        <w:rPr>
          <w:rStyle w:val="FootnoteReference"/>
        </w:rPr>
        <w:footnoteReference w:id="27"/>
      </w:r>
      <w:r w:rsidRPr="000814B7">
        <w:rPr>
          <w:lang w:val="es-ES"/>
        </w:rPr>
        <w:t xml:space="preserve"> de rad</w:t>
      </w:r>
      <w:r w:rsidR="00F73364">
        <w:rPr>
          <w:lang w:val="es-ES"/>
        </w:rPr>
        <w:t>ī</w:t>
      </w:r>
      <w:r w:rsidRPr="000814B7">
        <w:rPr>
          <w:lang w:val="es-ES"/>
        </w:rPr>
        <w:t>ce</w:t>
      </w:r>
      <w:r w:rsidR="0064363E">
        <w:rPr>
          <w:rStyle w:val="FootnoteReference"/>
        </w:rPr>
        <w:footnoteReference w:id="28"/>
      </w:r>
      <w:r w:rsidRPr="000814B7">
        <w:rPr>
          <w:lang w:val="es-ES"/>
        </w:rPr>
        <w:t xml:space="preserve"> Jesse,</w:t>
      </w:r>
    </w:p>
    <w:p w:rsidR="00A00A35" w:rsidRPr="000814B7" w:rsidRDefault="00A00A35" w:rsidP="008970E1">
      <w:pPr>
        <w:spacing w:after="0"/>
        <w:jc w:val="both"/>
        <w:rPr>
          <w:lang w:val="es-ES"/>
        </w:rPr>
      </w:pPr>
      <w:r w:rsidRPr="000814B7">
        <w:rPr>
          <w:lang w:val="es-ES"/>
        </w:rPr>
        <w:t>et fl</w:t>
      </w:r>
      <w:r w:rsidR="00F73364">
        <w:rPr>
          <w:lang w:val="es-ES"/>
        </w:rPr>
        <w:t>ō</w:t>
      </w:r>
      <w:r w:rsidRPr="000814B7">
        <w:rPr>
          <w:lang w:val="es-ES"/>
        </w:rPr>
        <w:t>s d</w:t>
      </w:r>
      <w:r w:rsidR="00F73364">
        <w:rPr>
          <w:lang w:val="es-ES"/>
        </w:rPr>
        <w:t>ē</w:t>
      </w:r>
      <w:r w:rsidRPr="000814B7">
        <w:rPr>
          <w:lang w:val="es-ES"/>
        </w:rPr>
        <w:t xml:space="preserve"> rad</w:t>
      </w:r>
      <w:r w:rsidR="00F73364">
        <w:rPr>
          <w:lang w:val="es-ES"/>
        </w:rPr>
        <w:t>ī</w:t>
      </w:r>
      <w:r w:rsidRPr="000814B7">
        <w:rPr>
          <w:lang w:val="es-ES"/>
        </w:rPr>
        <w:t>ce ejus ascendet.</w:t>
      </w:r>
    </w:p>
    <w:p w:rsidR="00A00A35" w:rsidRDefault="00A00A35" w:rsidP="008970E1">
      <w:pPr>
        <w:spacing w:after="0"/>
        <w:jc w:val="both"/>
      </w:pPr>
      <w:r>
        <w:t>Et requi</w:t>
      </w:r>
      <w:r w:rsidR="00F73364">
        <w:t>ē</w:t>
      </w:r>
      <w:r>
        <w:t>sc</w:t>
      </w:r>
      <w:r w:rsidR="002D2608">
        <w:t>e</w:t>
      </w:r>
      <w:r>
        <w:t>t super eum sp</w:t>
      </w:r>
      <w:r w:rsidR="00F73364">
        <w:t>ī</w:t>
      </w:r>
      <w:r>
        <w:t>ritus Domin</w:t>
      </w:r>
      <w:r w:rsidR="00F73364">
        <w:t>ī</w:t>
      </w:r>
      <w:r>
        <w:t>,</w:t>
      </w:r>
    </w:p>
    <w:p w:rsidR="00A00A35" w:rsidRDefault="00A00A35" w:rsidP="008970E1">
      <w:pPr>
        <w:spacing w:after="0"/>
        <w:jc w:val="both"/>
      </w:pPr>
      <w:r>
        <w:t>sp</w:t>
      </w:r>
      <w:r w:rsidR="00F73364">
        <w:t>ī</w:t>
      </w:r>
      <w:r>
        <w:t>ritus sapientiæ et intellect</w:t>
      </w:r>
      <w:r w:rsidR="00F73364">
        <w:t>ū</w:t>
      </w:r>
      <w:r>
        <w:t>s,</w:t>
      </w:r>
    </w:p>
    <w:p w:rsidR="00A00A35" w:rsidRDefault="00A00A35" w:rsidP="008970E1">
      <w:pPr>
        <w:spacing w:after="0"/>
        <w:jc w:val="both"/>
      </w:pPr>
      <w:r>
        <w:t>sp</w:t>
      </w:r>
      <w:r w:rsidR="00F73364">
        <w:t>ī</w:t>
      </w:r>
      <w:r>
        <w:t>ritus c</w:t>
      </w:r>
      <w:r w:rsidR="00F73364">
        <w:t>ō</w:t>
      </w:r>
      <w:r>
        <w:t>nsili</w:t>
      </w:r>
      <w:r w:rsidR="00F73364">
        <w:t xml:space="preserve">ī </w:t>
      </w:r>
      <w:r>
        <w:t>et forti</w:t>
      </w:r>
      <w:r w:rsidR="0064363E">
        <w:t>t</w:t>
      </w:r>
      <w:r w:rsidR="004F2964">
        <w:t>ū</w:t>
      </w:r>
      <w:r>
        <w:t>d</w:t>
      </w:r>
      <w:r w:rsidR="004F2964">
        <w:t>ī</w:t>
      </w:r>
      <w:r>
        <w:t>nis</w:t>
      </w:r>
      <w:r w:rsidR="0064363E">
        <w:t>,</w:t>
      </w:r>
    </w:p>
    <w:p w:rsidR="0064363E" w:rsidRDefault="0064363E" w:rsidP="008970E1">
      <w:pPr>
        <w:spacing w:after="0"/>
        <w:jc w:val="both"/>
      </w:pPr>
      <w:r>
        <w:t>sp</w:t>
      </w:r>
      <w:r w:rsidR="004F2964">
        <w:t>ī</w:t>
      </w:r>
      <w:r>
        <w:t>ritus scientiæ et piet</w:t>
      </w:r>
      <w:r w:rsidR="004F2964">
        <w:t>ā</w:t>
      </w:r>
      <w:r>
        <w:t>tis;</w:t>
      </w:r>
    </w:p>
    <w:p w:rsidR="0064363E" w:rsidRDefault="0064363E" w:rsidP="008970E1">
      <w:pPr>
        <w:spacing w:after="0"/>
        <w:jc w:val="both"/>
      </w:pPr>
      <w:r>
        <w:t>et repl</w:t>
      </w:r>
      <w:r w:rsidR="004F2964">
        <w:t>ē</w:t>
      </w:r>
      <w:r>
        <w:t>bit eum sp</w:t>
      </w:r>
      <w:r w:rsidR="004F2964">
        <w:t>ī</w:t>
      </w:r>
      <w:r>
        <w:t>ritus tim</w:t>
      </w:r>
      <w:r w:rsidR="004F2964">
        <w:t>ō</w:t>
      </w:r>
      <w:r>
        <w:t>ris Domin</w:t>
      </w:r>
      <w:r w:rsidR="004F2964">
        <w:t>ī</w:t>
      </w:r>
      <w:r>
        <w:t>.</w:t>
      </w:r>
    </w:p>
    <w:p w:rsidR="0064363E" w:rsidRDefault="0064363E" w:rsidP="008970E1">
      <w:pPr>
        <w:spacing w:after="0"/>
        <w:jc w:val="both"/>
      </w:pPr>
      <w:r>
        <w:t>N</w:t>
      </w:r>
      <w:r w:rsidR="004F2964">
        <w:t>ō</w:t>
      </w:r>
      <w:r>
        <w:t>n secundum v</w:t>
      </w:r>
      <w:r w:rsidR="004F2964">
        <w:t>ī</w:t>
      </w:r>
      <w:r>
        <w:t>si</w:t>
      </w:r>
      <w:r w:rsidR="004F2964">
        <w:t>ō</w:t>
      </w:r>
      <w:r>
        <w:t>nem ocul</w:t>
      </w:r>
      <w:r w:rsidR="004F2964">
        <w:t>ōr</w:t>
      </w:r>
      <w:r>
        <w:t>um j</w:t>
      </w:r>
      <w:r w:rsidR="004F2964">
        <w:t>ū</w:t>
      </w:r>
      <w:r>
        <w:t>dic</w:t>
      </w:r>
      <w:r w:rsidR="004F2964">
        <w:t>ā</w:t>
      </w:r>
      <w:r>
        <w:t>bit;</w:t>
      </w:r>
    </w:p>
    <w:p w:rsidR="0064363E" w:rsidRDefault="0064363E" w:rsidP="008970E1">
      <w:pPr>
        <w:spacing w:after="0"/>
        <w:jc w:val="both"/>
      </w:pPr>
      <w:r>
        <w:t>neque secundum aud</w:t>
      </w:r>
      <w:r w:rsidR="004F2964">
        <w:t>ī</w:t>
      </w:r>
      <w:r>
        <w:t>tum aurium arguet;</w:t>
      </w:r>
    </w:p>
    <w:p w:rsidR="0064363E" w:rsidRDefault="0064363E" w:rsidP="008970E1">
      <w:pPr>
        <w:spacing w:after="0"/>
        <w:jc w:val="both"/>
      </w:pPr>
      <w:r>
        <w:t>sed j</w:t>
      </w:r>
      <w:r w:rsidR="004F2964">
        <w:t>ū</w:t>
      </w:r>
      <w:r>
        <w:t>dic</w:t>
      </w:r>
      <w:r w:rsidR="004F2964">
        <w:t>ā</w:t>
      </w:r>
      <w:r>
        <w:t>bit in j</w:t>
      </w:r>
      <w:r w:rsidR="004F2964">
        <w:t>ū</w:t>
      </w:r>
      <w:r>
        <w:t>stitia pauper</w:t>
      </w:r>
      <w:r w:rsidR="004F2964">
        <w:t>ē</w:t>
      </w:r>
      <w:r>
        <w:t>s,</w:t>
      </w:r>
    </w:p>
    <w:p w:rsidR="0064363E" w:rsidRDefault="0064363E" w:rsidP="008970E1">
      <w:pPr>
        <w:spacing w:after="0"/>
        <w:jc w:val="both"/>
      </w:pPr>
      <w:r>
        <w:t>et arguet in æquit</w:t>
      </w:r>
      <w:r w:rsidR="004F2964">
        <w:t>ā</w:t>
      </w:r>
      <w:r>
        <w:t>te pr</w:t>
      </w:r>
      <w:r w:rsidR="00C37367">
        <w:t>ō</w:t>
      </w:r>
      <w:r>
        <w:t xml:space="preserve"> m</w:t>
      </w:r>
      <w:r w:rsidR="00C37367">
        <w:t>ā</w:t>
      </w:r>
      <w:r>
        <w:t>nsu</w:t>
      </w:r>
      <w:r w:rsidR="004F2964">
        <w:t>ē</w:t>
      </w:r>
      <w:r>
        <w:t>t</w:t>
      </w:r>
      <w:r w:rsidR="004F2964">
        <w:t>ī</w:t>
      </w:r>
      <w:r>
        <w:t>s terræ</w:t>
      </w:r>
      <w:r w:rsidR="0076162C">
        <w:rPr>
          <w:rStyle w:val="FootnoteReference"/>
        </w:rPr>
        <w:footnoteReference w:id="29"/>
      </w:r>
      <w:r>
        <w:t>;</w:t>
      </w:r>
    </w:p>
    <w:p w:rsidR="0064363E" w:rsidRDefault="0064363E" w:rsidP="008970E1">
      <w:pPr>
        <w:spacing w:after="0"/>
        <w:jc w:val="both"/>
      </w:pPr>
      <w:r>
        <w:t>et percutiet terram virg</w:t>
      </w:r>
      <w:r w:rsidR="00BC0A6F">
        <w:t>ā</w:t>
      </w:r>
      <w:r>
        <w:t xml:space="preserve"> </w:t>
      </w:r>
      <w:r w:rsidR="004F2964">
        <w:t>ō</w:t>
      </w:r>
      <w:r>
        <w:t>ris su</w:t>
      </w:r>
      <w:r w:rsidR="004F2964">
        <w:t>ī</w:t>
      </w:r>
      <w:r>
        <w:t>,</w:t>
      </w:r>
    </w:p>
    <w:p w:rsidR="0064363E" w:rsidRDefault="0064363E" w:rsidP="008970E1">
      <w:pPr>
        <w:spacing w:after="0"/>
        <w:jc w:val="both"/>
      </w:pPr>
      <w:r>
        <w:t>et sp</w:t>
      </w:r>
      <w:r w:rsidR="004F2964">
        <w:t>ī</w:t>
      </w:r>
      <w:r>
        <w:t>rit</w:t>
      </w:r>
      <w:r w:rsidR="004F2964">
        <w:t>ū</w:t>
      </w:r>
      <w:r>
        <w:t xml:space="preserve"> labi</w:t>
      </w:r>
      <w:r w:rsidR="004F2964">
        <w:t>ō</w:t>
      </w:r>
      <w:r>
        <w:t>rum su</w:t>
      </w:r>
      <w:r w:rsidR="004F2964">
        <w:t>ō</w:t>
      </w:r>
      <w:r>
        <w:t>rum</w:t>
      </w:r>
      <w:r w:rsidR="0076162C">
        <w:rPr>
          <w:rStyle w:val="FootnoteReference"/>
        </w:rPr>
        <w:footnoteReference w:id="30"/>
      </w:r>
      <w:r>
        <w:t xml:space="preserve"> interficiet impium.</w:t>
      </w:r>
    </w:p>
    <w:p w:rsidR="0064363E" w:rsidRDefault="0064363E" w:rsidP="008970E1">
      <w:pPr>
        <w:spacing w:after="0"/>
        <w:jc w:val="both"/>
      </w:pPr>
      <w:r>
        <w:t>Et erit j</w:t>
      </w:r>
      <w:r w:rsidR="004F2964">
        <w:t>ū</w:t>
      </w:r>
      <w:r>
        <w:t>stitia cingulum lumb</w:t>
      </w:r>
      <w:r w:rsidR="00247C40">
        <w:t>ō</w:t>
      </w:r>
      <w:r>
        <w:t>rum</w:t>
      </w:r>
      <w:r w:rsidR="0076162C">
        <w:rPr>
          <w:rStyle w:val="FootnoteReference"/>
        </w:rPr>
        <w:footnoteReference w:id="31"/>
      </w:r>
      <w:r>
        <w:t xml:space="preserve"> ejus,</w:t>
      </w:r>
    </w:p>
    <w:p w:rsidR="0064363E" w:rsidRDefault="0064363E" w:rsidP="008970E1">
      <w:pPr>
        <w:spacing w:after="0"/>
        <w:jc w:val="both"/>
      </w:pPr>
      <w:r>
        <w:t>Et fid</w:t>
      </w:r>
      <w:r w:rsidR="00247C40">
        <w:t>ē</w:t>
      </w:r>
      <w:r>
        <w:t>s cinct</w:t>
      </w:r>
      <w:r w:rsidR="00247C40">
        <w:t>ō</w:t>
      </w:r>
      <w:r>
        <w:t>rium r</w:t>
      </w:r>
      <w:r w:rsidR="00247C40">
        <w:t>ē</w:t>
      </w:r>
      <w:r>
        <w:t>num</w:t>
      </w:r>
      <w:r w:rsidR="0076162C">
        <w:rPr>
          <w:rStyle w:val="FootnoteReference"/>
        </w:rPr>
        <w:footnoteReference w:id="32"/>
      </w:r>
      <w:r>
        <w:t xml:space="preserve"> ejus.</w:t>
      </w:r>
    </w:p>
    <w:p w:rsidR="0076162C" w:rsidRDefault="0076162C" w:rsidP="008970E1">
      <w:pPr>
        <w:spacing w:after="0"/>
        <w:jc w:val="both"/>
        <w:rPr>
          <w:lang w:eastAsia="zh-TW"/>
        </w:rPr>
      </w:pPr>
    </w:p>
    <w:p w:rsidR="00641269" w:rsidRDefault="00641269" w:rsidP="002B218A">
      <w:pPr>
        <w:spacing w:after="0"/>
        <w:jc w:val="both"/>
        <w:rPr>
          <w:i/>
        </w:rPr>
      </w:pPr>
    </w:p>
    <w:p w:rsidR="00641269" w:rsidRDefault="00641269" w:rsidP="002B218A">
      <w:pPr>
        <w:spacing w:after="0"/>
        <w:jc w:val="both"/>
        <w:rPr>
          <w:i/>
        </w:rPr>
      </w:pPr>
    </w:p>
    <w:p w:rsidR="00641269" w:rsidRDefault="00641269" w:rsidP="002B218A">
      <w:pPr>
        <w:spacing w:after="0"/>
        <w:jc w:val="both"/>
        <w:rPr>
          <w:i/>
        </w:rPr>
      </w:pPr>
    </w:p>
    <w:p w:rsidR="00641269" w:rsidRDefault="00641269" w:rsidP="002B218A">
      <w:pPr>
        <w:spacing w:after="0"/>
        <w:jc w:val="both"/>
        <w:rPr>
          <w:i/>
        </w:rPr>
      </w:pPr>
    </w:p>
    <w:p w:rsidR="00641269" w:rsidRDefault="00641269" w:rsidP="002B218A">
      <w:pPr>
        <w:spacing w:after="0"/>
        <w:jc w:val="both"/>
        <w:rPr>
          <w:i/>
        </w:rPr>
      </w:pPr>
    </w:p>
    <w:p w:rsidR="002B218A" w:rsidRDefault="002B218A" w:rsidP="002B218A">
      <w:pPr>
        <w:spacing w:after="0"/>
        <w:jc w:val="both"/>
        <w:rPr>
          <w:i/>
        </w:rPr>
      </w:pPr>
      <w:r>
        <w:rPr>
          <w:i/>
        </w:rPr>
        <w:lastRenderedPageBreak/>
        <w:t>Paul is arraigned by Tertullus before the Governor. After flattering Felix</w:t>
      </w:r>
      <w:r w:rsidR="005C7A8C">
        <w:rPr>
          <w:i/>
        </w:rPr>
        <w:t>, governor of Judaea,</w:t>
      </w:r>
      <w:r>
        <w:rPr>
          <w:i/>
        </w:rPr>
        <w:t xml:space="preserve"> for his good government, Tertullus states that Paul is a pest, stirring up trouble everywhere. The Governor’s assistant, Lysias, forbade the Jews to deal with Paul themselves, and ordered them to appear before the Governor: the Governor can easily find the facts out.</w:t>
      </w:r>
    </w:p>
    <w:p w:rsidR="00083A3C" w:rsidRDefault="00083A3C" w:rsidP="00083A3C">
      <w:pPr>
        <w:spacing w:after="0"/>
        <w:ind w:firstLineChars="3200" w:firstLine="7680"/>
        <w:jc w:val="both"/>
        <w:rPr>
          <w:lang w:eastAsia="zh-TW"/>
        </w:rPr>
      </w:pPr>
      <w:r>
        <w:rPr>
          <w:lang w:eastAsia="zh-TW"/>
        </w:rPr>
        <w:t>(</w:t>
      </w:r>
      <w:r>
        <w:rPr>
          <w:rFonts w:hint="eastAsia"/>
          <w:lang w:eastAsia="zh-TW"/>
        </w:rPr>
        <w:t>Acts 24:1-9</w:t>
      </w:r>
      <w:r>
        <w:rPr>
          <w:lang w:eastAsia="zh-TW"/>
        </w:rPr>
        <w:t>)</w:t>
      </w:r>
    </w:p>
    <w:p w:rsidR="005C7A8C" w:rsidRDefault="0001104F" w:rsidP="008970E1">
      <w:pPr>
        <w:spacing w:after="0"/>
        <w:jc w:val="both"/>
      </w:pPr>
      <w:r>
        <w:t>D</w:t>
      </w:r>
      <w:r w:rsidR="005C7A8C">
        <w:t>ē</w:t>
      </w:r>
      <w:r>
        <w:t>scendit pr</w:t>
      </w:r>
      <w:r w:rsidR="005C7A8C">
        <w:t>ī</w:t>
      </w:r>
      <w:r>
        <w:t>nceps sacerd</w:t>
      </w:r>
      <w:r w:rsidR="005C7A8C">
        <w:t>ō</w:t>
      </w:r>
      <w:r>
        <w:t>tum, Anan</w:t>
      </w:r>
      <w:r w:rsidR="005C7A8C">
        <w:t>ī</w:t>
      </w:r>
      <w:r>
        <w:t>as, cum seni</w:t>
      </w:r>
      <w:r w:rsidR="005C7A8C">
        <w:t>ō</w:t>
      </w:r>
      <w:r>
        <w:t>ribus quibusdam, et Tertull</w:t>
      </w:r>
      <w:r w:rsidR="005C7A8C">
        <w:t>ō</w:t>
      </w:r>
      <w:r>
        <w:t xml:space="preserve"> qu</w:t>
      </w:r>
      <w:r w:rsidR="005C7A8C">
        <w:t>ō</w:t>
      </w:r>
      <w:r>
        <w:t xml:space="preserve">dam </w:t>
      </w:r>
    </w:p>
    <w:p w:rsidR="0076162C" w:rsidRPr="0032116B" w:rsidRDefault="0001104F" w:rsidP="008970E1">
      <w:pPr>
        <w:spacing w:after="0"/>
        <w:jc w:val="both"/>
        <w:rPr>
          <w:lang w:val="es-ES" w:eastAsia="zh-TW"/>
        </w:rPr>
      </w:pPr>
      <w:r>
        <w:t>oratore</w:t>
      </w:r>
      <w:r w:rsidR="00521BB4">
        <w:rPr>
          <w:rStyle w:val="FootnoteReference"/>
        </w:rPr>
        <w:footnoteReference w:id="33"/>
      </w:r>
      <w:r>
        <w:t>, qui adi</w:t>
      </w:r>
      <w:r w:rsidR="005C7A8C">
        <w:t>ē</w:t>
      </w:r>
      <w:r>
        <w:t>runt præsidem adversus Paulum</w:t>
      </w:r>
      <w:r w:rsidR="00521BB4">
        <w:rPr>
          <w:rStyle w:val="FootnoteReference"/>
        </w:rPr>
        <w:footnoteReference w:id="34"/>
      </w:r>
      <w:r>
        <w:t>. Et c</w:t>
      </w:r>
      <w:r w:rsidR="005C7A8C">
        <w:t>ī</w:t>
      </w:r>
      <w:r>
        <w:t>t</w:t>
      </w:r>
      <w:r w:rsidR="005C7A8C">
        <w:t>ā</w:t>
      </w:r>
      <w:r>
        <w:t>t</w:t>
      </w:r>
      <w:r w:rsidR="008112C9">
        <w:t>ō</w:t>
      </w:r>
      <w:r>
        <w:t xml:space="preserve"> Paul</w:t>
      </w:r>
      <w:r w:rsidR="008112C9">
        <w:t>ō</w:t>
      </w:r>
      <w:r>
        <w:t>,</w:t>
      </w:r>
      <w:r w:rsidR="0032116B">
        <w:rPr>
          <w:rStyle w:val="FootnoteReference"/>
        </w:rPr>
        <w:footnoteReference w:id="35"/>
      </w:r>
      <w:r>
        <w:t xml:space="preserve"> cœpit acc</w:t>
      </w:r>
      <w:r w:rsidR="008112C9">
        <w:t>ū</w:t>
      </w:r>
      <w:r>
        <w:t>s</w:t>
      </w:r>
      <w:r w:rsidR="008112C9">
        <w:t>ā</w:t>
      </w:r>
      <w:r>
        <w:t>re Tertullus, d</w:t>
      </w:r>
      <w:r w:rsidR="008112C9">
        <w:t>ī</w:t>
      </w:r>
      <w:r>
        <w:t>c</w:t>
      </w:r>
      <w:r w:rsidR="008112C9">
        <w:t>ē</w:t>
      </w:r>
      <w:r>
        <w:t>ns: Cum in mult</w:t>
      </w:r>
      <w:r w:rsidR="008112C9">
        <w:t>ā</w:t>
      </w:r>
      <w:r>
        <w:t xml:space="preserve"> p</w:t>
      </w:r>
      <w:r w:rsidR="008112C9">
        <w:t>ā</w:t>
      </w:r>
      <w:r>
        <w:t>ce ag</w:t>
      </w:r>
      <w:r w:rsidR="008112C9">
        <w:t>ā</w:t>
      </w:r>
      <w:r>
        <w:t>mus per t</w:t>
      </w:r>
      <w:r w:rsidR="008112C9">
        <w:t>ē</w:t>
      </w:r>
      <w:r>
        <w:t>, et multa corrigantur per tuam pr</w:t>
      </w:r>
      <w:r w:rsidR="008112C9">
        <w:t>ō</w:t>
      </w:r>
      <w:r>
        <w:t>videntiam, s</w:t>
      </w:r>
      <w:r w:rsidR="00521BB4">
        <w:t>e</w:t>
      </w:r>
      <w:r>
        <w:t>mper et ubique susc</w:t>
      </w:r>
      <w:r w:rsidR="00521BB4">
        <w:t>i</w:t>
      </w:r>
      <w:r>
        <w:t>pimus,</w:t>
      </w:r>
      <w:r w:rsidR="00EE7FDD">
        <w:rPr>
          <w:rStyle w:val="FootnoteReference"/>
        </w:rPr>
        <w:footnoteReference w:id="36"/>
      </w:r>
      <w:r>
        <w:t xml:space="preserve"> optime F</w:t>
      </w:r>
      <w:r w:rsidR="008112C9">
        <w:t>ē</w:t>
      </w:r>
      <w:r>
        <w:t>l</w:t>
      </w:r>
      <w:r w:rsidR="008112C9">
        <w:t>ī</w:t>
      </w:r>
      <w:r>
        <w:t>x,</w:t>
      </w:r>
      <w:r w:rsidR="005C7A8C">
        <w:rPr>
          <w:rStyle w:val="FootnoteReference"/>
        </w:rPr>
        <w:footnoteReference w:id="37"/>
      </w:r>
      <w:r>
        <w:t xml:space="preserve"> cum omn</w:t>
      </w:r>
      <w:r w:rsidR="008112C9">
        <w:t xml:space="preserve">ī </w:t>
      </w:r>
      <w:r>
        <w:t>gr</w:t>
      </w:r>
      <w:r w:rsidR="008112C9">
        <w:t>ā</w:t>
      </w:r>
      <w:r>
        <w:t>ti</w:t>
      </w:r>
      <w:r w:rsidR="008112C9">
        <w:t>ā</w:t>
      </w:r>
      <w:r>
        <w:t xml:space="preserve">rum </w:t>
      </w:r>
      <w:r w:rsidR="008112C9">
        <w:t>ā</w:t>
      </w:r>
      <w:r>
        <w:t>cti</w:t>
      </w:r>
      <w:r w:rsidR="008112C9">
        <w:t>ō</w:t>
      </w:r>
      <w:r>
        <w:t>ne.</w:t>
      </w:r>
      <w:r w:rsidR="00521BB4">
        <w:t xml:space="preserve"> </w:t>
      </w:r>
      <w:r w:rsidRPr="000814B7">
        <w:rPr>
          <w:lang w:val="es-ES"/>
        </w:rPr>
        <w:t>N</w:t>
      </w:r>
      <w:r w:rsidR="008112C9">
        <w:rPr>
          <w:lang w:val="es-ES"/>
        </w:rPr>
        <w:t>ē</w:t>
      </w:r>
      <w:r w:rsidRPr="000814B7">
        <w:rPr>
          <w:lang w:val="es-ES"/>
        </w:rPr>
        <w:t xml:space="preserve"> di</w:t>
      </w:r>
      <w:r w:rsidR="008112C9">
        <w:rPr>
          <w:lang w:val="es-ES"/>
        </w:rPr>
        <w:t>ū</w:t>
      </w:r>
      <w:r w:rsidRPr="000814B7">
        <w:rPr>
          <w:lang w:val="es-ES"/>
        </w:rPr>
        <w:t xml:space="preserve">tius autem </w:t>
      </w:r>
      <w:r w:rsidR="0032116B">
        <w:rPr>
          <w:lang w:val="es-ES"/>
        </w:rPr>
        <w:t xml:space="preserve"> </w:t>
      </w:r>
      <w:r w:rsidRPr="000814B7">
        <w:rPr>
          <w:lang w:val="es-ES"/>
        </w:rPr>
        <w:t>t</w:t>
      </w:r>
      <w:r w:rsidR="008112C9">
        <w:rPr>
          <w:lang w:val="es-ES"/>
        </w:rPr>
        <w:t>ē</w:t>
      </w:r>
      <w:r w:rsidRPr="000814B7">
        <w:rPr>
          <w:lang w:val="es-ES"/>
        </w:rPr>
        <w:t xml:space="preserve"> pr</w:t>
      </w:r>
      <w:r w:rsidR="008112C9">
        <w:rPr>
          <w:lang w:val="es-ES"/>
        </w:rPr>
        <w:t>ō</w:t>
      </w:r>
      <w:r w:rsidRPr="000814B7">
        <w:rPr>
          <w:lang w:val="es-ES"/>
        </w:rPr>
        <w:t>tr</w:t>
      </w:r>
      <w:r w:rsidR="00B158FD" w:rsidRPr="000814B7">
        <w:rPr>
          <w:lang w:val="es-ES"/>
        </w:rPr>
        <w:t>a</w:t>
      </w:r>
      <w:r w:rsidRPr="000814B7">
        <w:rPr>
          <w:lang w:val="es-ES"/>
        </w:rPr>
        <w:t xml:space="preserve">ham, </w:t>
      </w:r>
      <w:r w:rsidR="008112C9">
        <w:rPr>
          <w:lang w:val="es-ES"/>
        </w:rPr>
        <w:t>ōrō</w:t>
      </w:r>
      <w:r w:rsidRPr="000814B7">
        <w:rPr>
          <w:lang w:val="es-ES"/>
        </w:rPr>
        <w:t>, breviter audi</w:t>
      </w:r>
      <w:r w:rsidR="008112C9">
        <w:rPr>
          <w:lang w:val="es-ES"/>
        </w:rPr>
        <w:t>ā</w:t>
      </w:r>
      <w:r w:rsidRPr="000814B7">
        <w:rPr>
          <w:lang w:val="es-ES"/>
        </w:rPr>
        <w:t>s n</w:t>
      </w:r>
      <w:r w:rsidR="008112C9">
        <w:rPr>
          <w:lang w:val="es-ES"/>
        </w:rPr>
        <w:t>ō</w:t>
      </w:r>
      <w:r w:rsidRPr="000814B7">
        <w:rPr>
          <w:lang w:val="es-ES"/>
        </w:rPr>
        <w:t>s pr</w:t>
      </w:r>
      <w:r w:rsidR="008112C9">
        <w:rPr>
          <w:lang w:val="es-ES"/>
        </w:rPr>
        <w:t>ō</w:t>
      </w:r>
      <w:r w:rsidRPr="000814B7">
        <w:rPr>
          <w:lang w:val="es-ES"/>
        </w:rPr>
        <w:t xml:space="preserve"> tu</w:t>
      </w:r>
      <w:r w:rsidR="008112C9">
        <w:rPr>
          <w:lang w:val="es-ES"/>
        </w:rPr>
        <w:t>ā</w:t>
      </w:r>
      <w:r w:rsidRPr="000814B7">
        <w:rPr>
          <w:lang w:val="es-ES"/>
        </w:rPr>
        <w:t xml:space="preserve"> cl</w:t>
      </w:r>
      <w:r w:rsidR="008112C9">
        <w:rPr>
          <w:lang w:val="es-ES"/>
        </w:rPr>
        <w:t>ē</w:t>
      </w:r>
      <w:r w:rsidRPr="000814B7">
        <w:rPr>
          <w:lang w:val="es-ES"/>
        </w:rPr>
        <w:t>menti</w:t>
      </w:r>
      <w:r w:rsidR="008112C9">
        <w:rPr>
          <w:lang w:val="es-ES"/>
        </w:rPr>
        <w:t>ā</w:t>
      </w:r>
      <w:r w:rsidRPr="000814B7">
        <w:rPr>
          <w:lang w:val="es-ES"/>
        </w:rPr>
        <w:t>. Inv</w:t>
      </w:r>
      <w:r w:rsidR="008112C9">
        <w:rPr>
          <w:lang w:val="es-ES"/>
        </w:rPr>
        <w:t>ē</w:t>
      </w:r>
      <w:r w:rsidRPr="000814B7">
        <w:rPr>
          <w:lang w:val="es-ES"/>
        </w:rPr>
        <w:t>nimus hunc hominem pestiferum, et concitantem s</w:t>
      </w:r>
      <w:r w:rsidR="006571E4">
        <w:rPr>
          <w:lang w:val="es-ES"/>
        </w:rPr>
        <w:t>ē</w:t>
      </w:r>
      <w:r w:rsidRPr="000814B7">
        <w:rPr>
          <w:lang w:val="es-ES"/>
        </w:rPr>
        <w:t>diti</w:t>
      </w:r>
      <w:r w:rsidR="008112C9">
        <w:rPr>
          <w:lang w:val="es-ES"/>
        </w:rPr>
        <w:t>ō</w:t>
      </w:r>
      <w:r w:rsidRPr="000814B7">
        <w:rPr>
          <w:lang w:val="es-ES"/>
        </w:rPr>
        <w:t>n</w:t>
      </w:r>
      <w:r w:rsidR="006571E4">
        <w:rPr>
          <w:lang w:val="es-ES"/>
        </w:rPr>
        <w:t>ē</w:t>
      </w:r>
      <w:r w:rsidRPr="000814B7">
        <w:rPr>
          <w:lang w:val="es-ES"/>
        </w:rPr>
        <w:t>s omnibus J</w:t>
      </w:r>
      <w:r w:rsidR="006571E4">
        <w:rPr>
          <w:lang w:val="es-ES"/>
        </w:rPr>
        <w:t>ū</w:t>
      </w:r>
      <w:r w:rsidRPr="000814B7">
        <w:rPr>
          <w:lang w:val="es-ES"/>
        </w:rPr>
        <w:t>dæ</w:t>
      </w:r>
      <w:r w:rsidR="006571E4">
        <w:rPr>
          <w:lang w:val="es-ES"/>
        </w:rPr>
        <w:t>ī</w:t>
      </w:r>
      <w:r w:rsidRPr="000814B7">
        <w:rPr>
          <w:lang w:val="es-ES"/>
        </w:rPr>
        <w:t xml:space="preserve">s in </w:t>
      </w:r>
      <w:r w:rsidR="006571E4">
        <w:rPr>
          <w:lang w:val="es-ES"/>
        </w:rPr>
        <w:t>ū</w:t>
      </w:r>
      <w:r w:rsidRPr="000814B7">
        <w:rPr>
          <w:lang w:val="es-ES"/>
        </w:rPr>
        <w:t>nivers</w:t>
      </w:r>
      <w:r w:rsidR="006571E4">
        <w:rPr>
          <w:lang w:val="es-ES"/>
        </w:rPr>
        <w:t>ō</w:t>
      </w:r>
      <w:r w:rsidRPr="000814B7">
        <w:rPr>
          <w:lang w:val="es-ES"/>
        </w:rPr>
        <w:t xml:space="preserve"> orbe, et auct</w:t>
      </w:r>
      <w:r w:rsidR="006571E4">
        <w:rPr>
          <w:lang w:val="es-ES"/>
        </w:rPr>
        <w:t>ō</w:t>
      </w:r>
      <w:r w:rsidRPr="000814B7">
        <w:rPr>
          <w:lang w:val="es-ES"/>
        </w:rPr>
        <w:t>rem s</w:t>
      </w:r>
      <w:r w:rsidR="006571E4">
        <w:rPr>
          <w:lang w:val="es-ES"/>
        </w:rPr>
        <w:t>ē</w:t>
      </w:r>
      <w:r w:rsidRPr="000814B7">
        <w:rPr>
          <w:lang w:val="es-ES"/>
        </w:rPr>
        <w:t>diti</w:t>
      </w:r>
      <w:r w:rsidR="006571E4">
        <w:rPr>
          <w:lang w:val="es-ES"/>
        </w:rPr>
        <w:t>ō</w:t>
      </w:r>
      <w:r w:rsidRPr="000814B7">
        <w:rPr>
          <w:lang w:val="es-ES"/>
        </w:rPr>
        <w:t>nis sectæ</w:t>
      </w:r>
      <w:r w:rsidR="00521BB4" w:rsidRPr="000814B7">
        <w:rPr>
          <w:lang w:val="es-ES"/>
        </w:rPr>
        <w:t xml:space="preserve"> Nazar</w:t>
      </w:r>
      <w:r w:rsidR="006571E4">
        <w:rPr>
          <w:lang w:val="es-ES"/>
        </w:rPr>
        <w:t>ē</w:t>
      </w:r>
      <w:r w:rsidR="00521BB4" w:rsidRPr="000814B7">
        <w:rPr>
          <w:lang w:val="es-ES"/>
        </w:rPr>
        <w:t>n</w:t>
      </w:r>
      <w:r w:rsidR="00EE7FDD">
        <w:rPr>
          <w:lang w:val="es-ES"/>
        </w:rPr>
        <w:t>ō</w:t>
      </w:r>
      <w:r w:rsidR="00521BB4" w:rsidRPr="000814B7">
        <w:rPr>
          <w:lang w:val="es-ES"/>
        </w:rPr>
        <w:t>rum</w:t>
      </w:r>
      <w:r w:rsidRPr="000814B7">
        <w:rPr>
          <w:lang w:val="es-ES"/>
        </w:rPr>
        <w:t xml:space="preserve"> </w:t>
      </w:r>
      <w:r w:rsidR="00521BB4" w:rsidRPr="000814B7">
        <w:rPr>
          <w:lang w:val="es-ES"/>
        </w:rPr>
        <w:t>; qu</w:t>
      </w:r>
      <w:r w:rsidR="00EE7FDD">
        <w:rPr>
          <w:lang w:val="es-ES"/>
        </w:rPr>
        <w:t>ī</w:t>
      </w:r>
      <w:r w:rsidR="00521BB4" w:rsidRPr="000814B7">
        <w:rPr>
          <w:lang w:val="es-ES"/>
        </w:rPr>
        <w:t xml:space="preserve"> etiam templum viol</w:t>
      </w:r>
      <w:r w:rsidR="00EE7FDD">
        <w:rPr>
          <w:lang w:val="es-ES"/>
        </w:rPr>
        <w:t>ā</w:t>
      </w:r>
      <w:r w:rsidR="00521BB4" w:rsidRPr="000814B7">
        <w:rPr>
          <w:lang w:val="es-ES"/>
        </w:rPr>
        <w:t>re c</w:t>
      </w:r>
      <w:r w:rsidR="00EE7FDD">
        <w:rPr>
          <w:lang w:val="es-ES"/>
        </w:rPr>
        <w:t>ō</w:t>
      </w:r>
      <w:r w:rsidR="00521BB4" w:rsidRPr="000814B7">
        <w:rPr>
          <w:lang w:val="es-ES"/>
        </w:rPr>
        <w:t>n</w:t>
      </w:r>
      <w:r w:rsidR="00EE7FDD">
        <w:rPr>
          <w:lang w:val="es-ES"/>
        </w:rPr>
        <w:t>ā</w:t>
      </w:r>
      <w:r w:rsidR="00521BB4" w:rsidRPr="000814B7">
        <w:rPr>
          <w:lang w:val="es-ES"/>
        </w:rPr>
        <w:t>tus est</w:t>
      </w:r>
      <w:r w:rsidR="00B158FD">
        <w:rPr>
          <w:rStyle w:val="FootnoteReference"/>
        </w:rPr>
        <w:footnoteReference w:id="38"/>
      </w:r>
      <w:r w:rsidR="00521BB4" w:rsidRPr="000814B7">
        <w:rPr>
          <w:lang w:val="es-ES"/>
        </w:rPr>
        <w:t>; quem et appreh</w:t>
      </w:r>
      <w:r w:rsidR="00EE7FDD">
        <w:rPr>
          <w:lang w:val="es-ES"/>
        </w:rPr>
        <w:t>ē</w:t>
      </w:r>
      <w:r w:rsidR="00521BB4" w:rsidRPr="000814B7">
        <w:rPr>
          <w:lang w:val="es-ES"/>
        </w:rPr>
        <w:t>nsum voluimus secundum l</w:t>
      </w:r>
      <w:r w:rsidR="00EE7FDD">
        <w:rPr>
          <w:lang w:val="es-ES"/>
        </w:rPr>
        <w:t>ē</w:t>
      </w:r>
      <w:r w:rsidR="00521BB4" w:rsidRPr="000814B7">
        <w:rPr>
          <w:lang w:val="es-ES"/>
        </w:rPr>
        <w:t>gem nostr</w:t>
      </w:r>
      <w:r w:rsidR="00EE7FDD">
        <w:rPr>
          <w:lang w:val="es-ES"/>
        </w:rPr>
        <w:t>a</w:t>
      </w:r>
      <w:r w:rsidR="00521BB4" w:rsidRPr="000814B7">
        <w:rPr>
          <w:lang w:val="es-ES"/>
        </w:rPr>
        <w:t>m j</w:t>
      </w:r>
      <w:r w:rsidR="00EE7FDD">
        <w:rPr>
          <w:lang w:val="es-ES"/>
        </w:rPr>
        <w:t>ū</w:t>
      </w:r>
      <w:r w:rsidR="00521BB4" w:rsidRPr="000814B7">
        <w:rPr>
          <w:lang w:val="es-ES"/>
        </w:rPr>
        <w:t>dic</w:t>
      </w:r>
      <w:r w:rsidR="00EE7FDD">
        <w:rPr>
          <w:lang w:val="es-ES"/>
        </w:rPr>
        <w:t>ā</w:t>
      </w:r>
      <w:r w:rsidR="00521BB4" w:rsidRPr="000814B7">
        <w:rPr>
          <w:lang w:val="es-ES"/>
        </w:rPr>
        <w:t>re. Superveni</w:t>
      </w:r>
      <w:r w:rsidR="00EE7FDD">
        <w:rPr>
          <w:lang w:val="es-ES"/>
        </w:rPr>
        <w:t>ē</w:t>
      </w:r>
      <w:r w:rsidR="00521BB4" w:rsidRPr="000814B7">
        <w:rPr>
          <w:lang w:val="es-ES"/>
        </w:rPr>
        <w:t>ns autem trib</w:t>
      </w:r>
      <w:r w:rsidR="00EE7FDD">
        <w:rPr>
          <w:lang w:val="es-ES"/>
        </w:rPr>
        <w:t>ū</w:t>
      </w:r>
      <w:r w:rsidR="00521BB4" w:rsidRPr="000814B7">
        <w:rPr>
          <w:lang w:val="es-ES"/>
        </w:rPr>
        <w:t>nus</w:t>
      </w:r>
      <w:r w:rsidR="0032116B">
        <w:rPr>
          <w:rStyle w:val="FootnoteReference"/>
          <w:lang w:val="es-ES"/>
        </w:rPr>
        <w:footnoteReference w:id="39"/>
      </w:r>
      <w:r w:rsidR="00521BB4" w:rsidRPr="000814B7">
        <w:rPr>
          <w:lang w:val="es-ES"/>
        </w:rPr>
        <w:t xml:space="preserve"> Lysias, cum v</w:t>
      </w:r>
      <w:r w:rsidR="00EE7FDD">
        <w:rPr>
          <w:lang w:val="es-ES"/>
        </w:rPr>
        <w:t>ī</w:t>
      </w:r>
      <w:r w:rsidR="00521BB4" w:rsidRPr="000814B7">
        <w:rPr>
          <w:lang w:val="es-ES"/>
        </w:rPr>
        <w:t xml:space="preserve"> magn</w:t>
      </w:r>
      <w:r w:rsidR="00EE7FDD">
        <w:rPr>
          <w:lang w:val="es-ES"/>
        </w:rPr>
        <w:t>ā</w:t>
      </w:r>
      <w:r w:rsidR="00521BB4" w:rsidRPr="000814B7">
        <w:rPr>
          <w:lang w:val="es-ES"/>
        </w:rPr>
        <w:t xml:space="preserve"> </w:t>
      </w:r>
      <w:r w:rsidR="00EE7FDD">
        <w:rPr>
          <w:lang w:val="es-ES"/>
        </w:rPr>
        <w:t>ē</w:t>
      </w:r>
      <w:r w:rsidR="00521BB4" w:rsidRPr="000814B7">
        <w:rPr>
          <w:lang w:val="es-ES"/>
        </w:rPr>
        <w:t>ripuit eum d</w:t>
      </w:r>
      <w:r w:rsidR="00B91566">
        <w:rPr>
          <w:lang w:val="es-ES"/>
        </w:rPr>
        <w:t>ē</w:t>
      </w:r>
      <w:r w:rsidR="00521BB4" w:rsidRPr="000814B7">
        <w:rPr>
          <w:lang w:val="es-ES"/>
        </w:rPr>
        <w:t xml:space="preserve"> manibus nostr</w:t>
      </w:r>
      <w:r w:rsidR="00EE7FDD">
        <w:rPr>
          <w:lang w:val="es-ES"/>
        </w:rPr>
        <w:t>ī</w:t>
      </w:r>
      <w:r w:rsidR="00521BB4" w:rsidRPr="000814B7">
        <w:rPr>
          <w:lang w:val="es-ES"/>
        </w:rPr>
        <w:t>s, jub</w:t>
      </w:r>
      <w:r w:rsidR="00EE7FDD">
        <w:rPr>
          <w:lang w:val="es-ES"/>
        </w:rPr>
        <w:t>ē</w:t>
      </w:r>
      <w:r w:rsidR="00521BB4" w:rsidRPr="000814B7">
        <w:rPr>
          <w:lang w:val="es-ES"/>
        </w:rPr>
        <w:t>ns acc</w:t>
      </w:r>
      <w:r w:rsidR="00EE7FDD">
        <w:rPr>
          <w:lang w:val="es-ES"/>
        </w:rPr>
        <w:t>ū</w:t>
      </w:r>
      <w:r w:rsidR="00521BB4" w:rsidRPr="000814B7">
        <w:rPr>
          <w:lang w:val="es-ES"/>
        </w:rPr>
        <w:t>s</w:t>
      </w:r>
      <w:r w:rsidR="00EE7FDD">
        <w:rPr>
          <w:lang w:val="es-ES"/>
        </w:rPr>
        <w:t>ā</w:t>
      </w:r>
      <w:r w:rsidR="00521BB4" w:rsidRPr="000814B7">
        <w:rPr>
          <w:lang w:val="es-ES"/>
        </w:rPr>
        <w:t>t</w:t>
      </w:r>
      <w:r w:rsidR="00EE7FDD">
        <w:rPr>
          <w:lang w:val="es-ES"/>
        </w:rPr>
        <w:t>ō</w:t>
      </w:r>
      <w:r w:rsidR="00521BB4" w:rsidRPr="000814B7">
        <w:rPr>
          <w:lang w:val="es-ES"/>
        </w:rPr>
        <w:t>r</w:t>
      </w:r>
      <w:r w:rsidR="00EE7FDD">
        <w:rPr>
          <w:lang w:val="es-ES"/>
        </w:rPr>
        <w:t>ē</w:t>
      </w:r>
      <w:r w:rsidR="00521BB4" w:rsidRPr="000814B7">
        <w:rPr>
          <w:lang w:val="es-ES"/>
        </w:rPr>
        <w:t>s ejus ad t</w:t>
      </w:r>
      <w:r w:rsidR="00EE7FDD">
        <w:rPr>
          <w:lang w:val="es-ES"/>
        </w:rPr>
        <w:t>ē</w:t>
      </w:r>
      <w:r w:rsidR="00521BB4" w:rsidRPr="000814B7">
        <w:rPr>
          <w:lang w:val="es-ES"/>
        </w:rPr>
        <w:t xml:space="preserve"> ven</w:t>
      </w:r>
      <w:r w:rsidR="00EE7FDD">
        <w:rPr>
          <w:lang w:val="es-ES"/>
        </w:rPr>
        <w:t>ī</w:t>
      </w:r>
      <w:r w:rsidR="00521BB4" w:rsidRPr="000814B7">
        <w:rPr>
          <w:lang w:val="es-ES"/>
        </w:rPr>
        <w:t xml:space="preserve">re; </w:t>
      </w:r>
      <w:r w:rsidR="00EE7FDD">
        <w:rPr>
          <w:lang w:val="es-ES"/>
        </w:rPr>
        <w:t>ā</w:t>
      </w:r>
      <w:r w:rsidR="00521BB4" w:rsidRPr="000814B7">
        <w:rPr>
          <w:lang w:val="es-ES"/>
        </w:rPr>
        <w:t xml:space="preserve"> qu</w:t>
      </w:r>
      <w:r w:rsidR="00EE7FDD">
        <w:rPr>
          <w:lang w:val="es-ES"/>
        </w:rPr>
        <w:t>ō</w:t>
      </w:r>
      <w:r w:rsidR="00521BB4" w:rsidRPr="000814B7">
        <w:rPr>
          <w:lang w:val="es-ES"/>
        </w:rPr>
        <w:t xml:space="preserve"> poteris ipse j</w:t>
      </w:r>
      <w:r w:rsidR="0032116B">
        <w:rPr>
          <w:lang w:val="es-ES"/>
        </w:rPr>
        <w:t>ū</w:t>
      </w:r>
      <w:r w:rsidR="00521BB4" w:rsidRPr="000814B7">
        <w:rPr>
          <w:lang w:val="es-ES"/>
        </w:rPr>
        <w:t>dic</w:t>
      </w:r>
      <w:r w:rsidR="002F05F7">
        <w:rPr>
          <w:lang w:val="es-ES"/>
        </w:rPr>
        <w:t>ā</w:t>
      </w:r>
      <w:r w:rsidR="00521BB4" w:rsidRPr="000814B7">
        <w:rPr>
          <w:lang w:val="es-ES"/>
        </w:rPr>
        <w:t>ns d</w:t>
      </w:r>
      <w:r w:rsidR="00B91566">
        <w:rPr>
          <w:lang w:val="es-ES"/>
        </w:rPr>
        <w:t>ē</w:t>
      </w:r>
      <w:r w:rsidR="00521BB4" w:rsidRPr="000814B7">
        <w:rPr>
          <w:lang w:val="es-ES"/>
        </w:rPr>
        <w:t xml:space="preserve"> omnibus is</w:t>
      </w:r>
      <w:r w:rsidR="00B158FD" w:rsidRPr="000814B7">
        <w:rPr>
          <w:lang w:val="es-ES"/>
        </w:rPr>
        <w:t>t</w:t>
      </w:r>
      <w:r w:rsidR="00EE7FDD">
        <w:rPr>
          <w:lang w:val="es-ES"/>
        </w:rPr>
        <w:t>ī</w:t>
      </w:r>
      <w:r w:rsidR="00521BB4" w:rsidRPr="000814B7">
        <w:rPr>
          <w:lang w:val="es-ES"/>
        </w:rPr>
        <w:t>s cogn</w:t>
      </w:r>
      <w:r w:rsidR="002F05F7">
        <w:rPr>
          <w:lang w:val="es-ES"/>
        </w:rPr>
        <w:t>ō</w:t>
      </w:r>
      <w:r w:rsidR="00521BB4" w:rsidRPr="000814B7">
        <w:rPr>
          <w:lang w:val="es-ES"/>
        </w:rPr>
        <w:t>scere, d</w:t>
      </w:r>
      <w:r w:rsidR="00B91566">
        <w:rPr>
          <w:lang w:val="es-ES"/>
        </w:rPr>
        <w:t>ē</w:t>
      </w:r>
      <w:r w:rsidR="00521BB4" w:rsidRPr="000814B7">
        <w:rPr>
          <w:lang w:val="es-ES"/>
        </w:rPr>
        <w:t xml:space="preserve"> quibus acc</w:t>
      </w:r>
      <w:r w:rsidR="002F05F7">
        <w:rPr>
          <w:lang w:val="es-ES"/>
        </w:rPr>
        <w:t>ū</w:t>
      </w:r>
      <w:r w:rsidR="00521BB4" w:rsidRPr="000814B7">
        <w:rPr>
          <w:lang w:val="es-ES"/>
        </w:rPr>
        <w:t>s</w:t>
      </w:r>
      <w:r w:rsidR="002F05F7">
        <w:rPr>
          <w:lang w:val="es-ES"/>
        </w:rPr>
        <w:t>ā</w:t>
      </w:r>
      <w:r w:rsidR="00521BB4" w:rsidRPr="000814B7">
        <w:rPr>
          <w:lang w:val="es-ES"/>
        </w:rPr>
        <w:t xml:space="preserve">mus eum. </w:t>
      </w:r>
      <w:r w:rsidR="00521BB4" w:rsidRPr="0032116B">
        <w:rPr>
          <w:lang w:val="es-ES"/>
        </w:rPr>
        <w:t>Adj</w:t>
      </w:r>
      <w:r w:rsidR="002F05F7" w:rsidRPr="0032116B">
        <w:rPr>
          <w:lang w:val="es-ES"/>
        </w:rPr>
        <w:t>ē</w:t>
      </w:r>
      <w:r w:rsidR="00521BB4" w:rsidRPr="0032116B">
        <w:rPr>
          <w:lang w:val="es-ES"/>
        </w:rPr>
        <w:t>c</w:t>
      </w:r>
      <w:r w:rsidR="002F05F7" w:rsidRPr="0032116B">
        <w:rPr>
          <w:lang w:val="es-ES"/>
        </w:rPr>
        <w:t>ē</w:t>
      </w:r>
      <w:r w:rsidR="00521BB4" w:rsidRPr="0032116B">
        <w:rPr>
          <w:lang w:val="es-ES"/>
        </w:rPr>
        <w:t>runt</w:t>
      </w:r>
      <w:r w:rsidR="002F05F7">
        <w:rPr>
          <w:rStyle w:val="FootnoteReference"/>
        </w:rPr>
        <w:footnoteReference w:id="40"/>
      </w:r>
      <w:r w:rsidR="00521BB4" w:rsidRPr="0032116B">
        <w:rPr>
          <w:lang w:val="es-ES"/>
        </w:rPr>
        <w:t xml:space="preserve"> autem et J</w:t>
      </w:r>
      <w:r w:rsidR="002F05F7" w:rsidRPr="0032116B">
        <w:rPr>
          <w:lang w:val="es-ES"/>
        </w:rPr>
        <w:t>ū</w:t>
      </w:r>
      <w:r w:rsidR="00521BB4" w:rsidRPr="0032116B">
        <w:rPr>
          <w:lang w:val="es-ES"/>
        </w:rPr>
        <w:t>dæ</w:t>
      </w:r>
      <w:r w:rsidR="002F05F7" w:rsidRPr="0032116B">
        <w:rPr>
          <w:lang w:val="es-ES"/>
        </w:rPr>
        <w:t>ī</w:t>
      </w:r>
      <w:r w:rsidR="00521BB4" w:rsidRPr="0032116B">
        <w:rPr>
          <w:lang w:val="es-ES"/>
        </w:rPr>
        <w:t>, d</w:t>
      </w:r>
      <w:r w:rsidR="002F05F7" w:rsidRPr="0032116B">
        <w:rPr>
          <w:lang w:val="es-ES"/>
        </w:rPr>
        <w:t>ī</w:t>
      </w:r>
      <w:r w:rsidR="00521BB4" w:rsidRPr="0032116B">
        <w:rPr>
          <w:lang w:val="es-ES"/>
        </w:rPr>
        <w:t>centes hæc ita s</w:t>
      </w:r>
      <w:r w:rsidR="00B91566">
        <w:rPr>
          <w:lang w:val="es-ES"/>
        </w:rPr>
        <w:t>ē</w:t>
      </w:r>
      <w:r w:rsidR="00521BB4" w:rsidRPr="0032116B">
        <w:rPr>
          <w:lang w:val="es-ES"/>
        </w:rPr>
        <w:t xml:space="preserve"> hab</w:t>
      </w:r>
      <w:r w:rsidR="00B91566">
        <w:rPr>
          <w:lang w:val="es-ES"/>
        </w:rPr>
        <w:t>ē</w:t>
      </w:r>
      <w:r w:rsidR="00521BB4" w:rsidRPr="0032116B">
        <w:rPr>
          <w:lang w:val="es-ES"/>
        </w:rPr>
        <w:t>re.</w:t>
      </w:r>
      <w:r w:rsidR="00676CE1">
        <w:rPr>
          <w:rStyle w:val="FootnoteReference"/>
        </w:rPr>
        <w:footnoteReference w:id="41"/>
      </w:r>
    </w:p>
    <w:p w:rsidR="007D260F" w:rsidRPr="0032116B" w:rsidRDefault="007D260F" w:rsidP="008970E1">
      <w:pPr>
        <w:spacing w:after="0"/>
        <w:jc w:val="both"/>
        <w:rPr>
          <w:lang w:val="es-ES" w:eastAsia="zh-TW"/>
        </w:rPr>
      </w:pPr>
    </w:p>
    <w:p w:rsidR="00B158FD" w:rsidRPr="0032116B" w:rsidRDefault="00B158FD" w:rsidP="008970E1">
      <w:pPr>
        <w:spacing w:after="0"/>
        <w:jc w:val="both"/>
        <w:rPr>
          <w:lang w:val="es-ES"/>
        </w:rPr>
      </w:pPr>
    </w:p>
    <w:p w:rsidR="00D8358B" w:rsidRPr="0032116B" w:rsidRDefault="00D8358B" w:rsidP="005B78C7">
      <w:pPr>
        <w:jc w:val="both"/>
        <w:rPr>
          <w:i/>
          <w:lang w:val="es-ES"/>
        </w:rPr>
      </w:pPr>
    </w:p>
    <w:p w:rsidR="005B78C7" w:rsidRPr="0032116B" w:rsidRDefault="005B78C7" w:rsidP="005B78C7">
      <w:pPr>
        <w:jc w:val="center"/>
        <w:rPr>
          <w:b/>
          <w:sz w:val="28"/>
          <w:szCs w:val="28"/>
          <w:lang w:val="es-ES"/>
        </w:rPr>
      </w:pPr>
    </w:p>
    <w:sectPr w:rsidR="005B78C7" w:rsidRPr="0032116B" w:rsidSect="003042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6F" w:rsidRDefault="00B76B6F" w:rsidP="005B78C7">
      <w:pPr>
        <w:spacing w:after="0" w:line="240" w:lineRule="auto"/>
      </w:pPr>
      <w:r>
        <w:separator/>
      </w:r>
    </w:p>
  </w:endnote>
  <w:endnote w:type="continuationSeparator" w:id="0">
    <w:p w:rsidR="00B76B6F" w:rsidRDefault="00B76B6F" w:rsidP="005B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6F" w:rsidRDefault="00B76B6F" w:rsidP="005B78C7">
      <w:pPr>
        <w:spacing w:after="0" w:line="240" w:lineRule="auto"/>
      </w:pPr>
      <w:r>
        <w:separator/>
      </w:r>
    </w:p>
  </w:footnote>
  <w:footnote w:type="continuationSeparator" w:id="0">
    <w:p w:rsidR="00B76B6F" w:rsidRDefault="00B76B6F" w:rsidP="005B78C7">
      <w:pPr>
        <w:spacing w:after="0" w:line="240" w:lineRule="auto"/>
      </w:pPr>
      <w:r>
        <w:continuationSeparator/>
      </w:r>
    </w:p>
  </w:footnote>
  <w:footnote w:id="1">
    <w:p w:rsidR="005B78C7" w:rsidRDefault="005B78C7">
      <w:pPr>
        <w:pStyle w:val="FootnoteText"/>
      </w:pPr>
      <w:r>
        <w:rPr>
          <w:rStyle w:val="FootnoteReference"/>
        </w:rPr>
        <w:footnoteRef/>
      </w:r>
      <w:r>
        <w:t xml:space="preserve"> </w:t>
      </w:r>
      <w:r w:rsidR="00B91566">
        <w:rPr>
          <w:b/>
          <w:bCs/>
        </w:rPr>
        <w:t>p</w:t>
      </w:r>
      <w:r w:rsidR="0039026B" w:rsidRPr="007C4FAA">
        <w:rPr>
          <w:b/>
          <w:bCs/>
        </w:rPr>
        <w:t>ræcipe domu</w:t>
      </w:r>
      <w:r w:rsidR="007C4FAA" w:rsidRPr="007C4FAA">
        <w:rPr>
          <w:b/>
          <w:bCs/>
        </w:rPr>
        <w:t>ī</w:t>
      </w:r>
      <w:r w:rsidR="0039026B" w:rsidRPr="007C4FAA">
        <w:rPr>
          <w:b/>
          <w:bCs/>
        </w:rPr>
        <w:t xml:space="preserve"> tuæ</w:t>
      </w:r>
      <w:r w:rsidR="0039026B">
        <w:t xml:space="preserve">, </w:t>
      </w:r>
      <w:r>
        <w:t xml:space="preserve">Here = “Put your affairs in order”, or “Take care for your household”. </w:t>
      </w:r>
    </w:p>
  </w:footnote>
  <w:footnote w:id="2">
    <w:p w:rsidR="005B78C7" w:rsidRDefault="005B78C7">
      <w:pPr>
        <w:pStyle w:val="FootnoteText"/>
      </w:pPr>
      <w:r>
        <w:rPr>
          <w:rStyle w:val="FootnoteReference"/>
        </w:rPr>
        <w:footnoteRef/>
      </w:r>
      <w:r>
        <w:t xml:space="preserve"> </w:t>
      </w:r>
      <w:r w:rsidR="00B91566">
        <w:rPr>
          <w:b/>
          <w:bCs/>
        </w:rPr>
        <w:t>p</w:t>
      </w:r>
      <w:r w:rsidRPr="007C4FAA">
        <w:rPr>
          <w:b/>
          <w:bCs/>
        </w:rPr>
        <w:t>ari</w:t>
      </w:r>
      <w:r w:rsidR="007C4FAA" w:rsidRPr="007C4FAA">
        <w:rPr>
          <w:b/>
          <w:bCs/>
        </w:rPr>
        <w:t>ē</w:t>
      </w:r>
      <w:r w:rsidRPr="007C4FAA">
        <w:rPr>
          <w:b/>
          <w:bCs/>
        </w:rPr>
        <w:t>s -ietis</w:t>
      </w:r>
      <w:r>
        <w:t xml:space="preserve"> = “An internal wall”</w:t>
      </w:r>
    </w:p>
  </w:footnote>
  <w:footnote w:id="3">
    <w:p w:rsidR="00641269" w:rsidRPr="00641269" w:rsidRDefault="00641269">
      <w:pPr>
        <w:pStyle w:val="FootnoteText"/>
      </w:pPr>
      <w:r>
        <w:rPr>
          <w:rStyle w:val="FootnoteReference"/>
        </w:rPr>
        <w:footnoteRef/>
      </w:r>
      <w:r>
        <w:t xml:space="preserve"> </w:t>
      </w:r>
      <w:r w:rsidRPr="00641269">
        <w:rPr>
          <w:b/>
          <w:bCs/>
        </w:rPr>
        <w:t>antequam ēgrederētur…mediam partem ātriī:</w:t>
      </w:r>
      <w:r>
        <w:rPr>
          <w:b/>
          <w:bCs/>
        </w:rPr>
        <w:t xml:space="preserve"> </w:t>
      </w:r>
      <w:r>
        <w:t xml:space="preserve">`before Isaiah left the middle part of the courtyard.’ However, the Hebrew (followed by the KJV)  actually  means `before he went out into the middle court’. The Greek Septuagint gives the sense `whilst he was in the middle court’  and a variant reading in the Hebrew would mean `before he went out into the middle of the city’ (i.e. the depression between the twin hills on which Jerusalem was built.)  See  </w:t>
      </w:r>
      <w:hyperlink r:id="rId1" w:history="1">
        <w:r w:rsidRPr="00994255">
          <w:rPr>
            <w:rStyle w:val="Hyperlink"/>
          </w:rPr>
          <w:t>http://biblehub.com/commentaries/2_kings/20-4.htm</w:t>
        </w:r>
      </w:hyperlink>
      <w:r>
        <w:t xml:space="preserve"> </w:t>
      </w:r>
    </w:p>
  </w:footnote>
  <w:footnote w:id="4">
    <w:p w:rsidR="00C324B6" w:rsidRDefault="00C324B6">
      <w:pPr>
        <w:pStyle w:val="FootnoteText"/>
      </w:pPr>
      <w:r>
        <w:rPr>
          <w:rStyle w:val="FootnoteReference"/>
        </w:rPr>
        <w:footnoteRef/>
      </w:r>
      <w:r>
        <w:t xml:space="preserve"> </w:t>
      </w:r>
      <w:r w:rsidR="00B91566">
        <w:rPr>
          <w:b/>
          <w:bCs/>
        </w:rPr>
        <w:t>m</w:t>
      </w:r>
      <w:r w:rsidRPr="007C4FAA">
        <w:rPr>
          <w:b/>
          <w:bCs/>
        </w:rPr>
        <w:t>assa f</w:t>
      </w:r>
      <w:r w:rsidR="007C4FAA" w:rsidRPr="007C4FAA">
        <w:rPr>
          <w:b/>
          <w:bCs/>
        </w:rPr>
        <w:t>ī</w:t>
      </w:r>
      <w:r w:rsidRPr="007C4FAA">
        <w:rPr>
          <w:b/>
          <w:bCs/>
        </w:rPr>
        <w:t>ic</w:t>
      </w:r>
      <w:r w:rsidR="007C4FAA" w:rsidRPr="007C4FAA">
        <w:rPr>
          <w:b/>
          <w:bCs/>
        </w:rPr>
        <w:t>ō</w:t>
      </w:r>
      <w:r w:rsidRPr="007C4FAA">
        <w:rPr>
          <w:b/>
          <w:bCs/>
        </w:rPr>
        <w:t>rum</w:t>
      </w:r>
      <w:r>
        <w:t xml:space="preserve"> = “A poultice of figs”</w:t>
      </w:r>
    </w:p>
  </w:footnote>
  <w:footnote w:id="5">
    <w:p w:rsidR="00C324B6" w:rsidRDefault="00C324B6">
      <w:pPr>
        <w:pStyle w:val="FootnoteText"/>
      </w:pPr>
      <w:r>
        <w:rPr>
          <w:rStyle w:val="FootnoteReference"/>
        </w:rPr>
        <w:footnoteRef/>
      </w:r>
      <w:r>
        <w:t xml:space="preserve"> </w:t>
      </w:r>
      <w:r w:rsidR="00B91566">
        <w:rPr>
          <w:b/>
          <w:bCs/>
        </w:rPr>
        <w:t>u</w:t>
      </w:r>
      <w:r w:rsidRPr="00C83472">
        <w:rPr>
          <w:b/>
          <w:bCs/>
        </w:rPr>
        <w:t>lcus</w:t>
      </w:r>
      <w:r w:rsidR="00C83472">
        <w:rPr>
          <w:b/>
          <w:bCs/>
        </w:rPr>
        <w:t xml:space="preserve">, ulceris </w:t>
      </w:r>
      <w:r>
        <w:t xml:space="preserve"> = “An ulcer”</w:t>
      </w:r>
    </w:p>
  </w:footnote>
  <w:footnote w:id="6">
    <w:p w:rsidR="0039026B" w:rsidRDefault="0039026B">
      <w:pPr>
        <w:pStyle w:val="FootnoteText"/>
      </w:pPr>
      <w:r>
        <w:rPr>
          <w:rStyle w:val="FootnoteReference"/>
        </w:rPr>
        <w:footnoteRef/>
      </w:r>
      <w:r>
        <w:t xml:space="preserve"> </w:t>
      </w:r>
      <w:r w:rsidR="00B91566">
        <w:rPr>
          <w:b/>
          <w:bCs/>
        </w:rPr>
        <w:t>i</w:t>
      </w:r>
      <w:r w:rsidRPr="00C83472">
        <w:rPr>
          <w:b/>
          <w:bCs/>
        </w:rPr>
        <w:t>mmunditi</w:t>
      </w:r>
      <w:r w:rsidR="00D8358B" w:rsidRPr="00C83472">
        <w:rPr>
          <w:b/>
          <w:bCs/>
        </w:rPr>
        <w:t>æ, immunditiis</w:t>
      </w:r>
      <w:r>
        <w:t xml:space="preserve"> = “Unclean things”; meaning </w:t>
      </w:r>
      <w:r w:rsidR="00D8358B">
        <w:t xml:space="preserve">here </w:t>
      </w:r>
      <w:r>
        <w:t>“foreign gods”</w:t>
      </w:r>
    </w:p>
  </w:footnote>
  <w:footnote w:id="7">
    <w:p w:rsidR="00D8358B" w:rsidRDefault="00D8358B">
      <w:pPr>
        <w:pStyle w:val="FootnoteText"/>
      </w:pPr>
      <w:r>
        <w:rPr>
          <w:rStyle w:val="FootnoteReference"/>
        </w:rPr>
        <w:footnoteRef/>
      </w:r>
      <w:r>
        <w:t xml:space="preserve"> </w:t>
      </w:r>
      <w:r w:rsidR="00B91566">
        <w:rPr>
          <w:b/>
          <w:bCs/>
        </w:rPr>
        <w:t>d</w:t>
      </w:r>
      <w:r w:rsidR="00140DD8" w:rsidRPr="00140DD8">
        <w:rPr>
          <w:b/>
          <w:bCs/>
        </w:rPr>
        <w:t>ē</w:t>
      </w:r>
      <w:r w:rsidRPr="00140DD8">
        <w:rPr>
          <w:b/>
          <w:bCs/>
        </w:rPr>
        <w:t>rel</w:t>
      </w:r>
      <w:r w:rsidR="00140DD8" w:rsidRPr="00140DD8">
        <w:rPr>
          <w:b/>
          <w:bCs/>
        </w:rPr>
        <w:t>ī</w:t>
      </w:r>
      <w:r w:rsidRPr="00140DD8">
        <w:rPr>
          <w:b/>
          <w:bCs/>
        </w:rPr>
        <w:t>quit</w:t>
      </w:r>
      <w:r>
        <w:t xml:space="preserve"> = “Abandoned”</w:t>
      </w:r>
    </w:p>
  </w:footnote>
  <w:footnote w:id="8">
    <w:p w:rsidR="00D8358B" w:rsidRDefault="00D8358B">
      <w:pPr>
        <w:pStyle w:val="FootnoteText"/>
      </w:pPr>
      <w:r>
        <w:rPr>
          <w:rStyle w:val="FootnoteReference"/>
        </w:rPr>
        <w:footnoteRef/>
      </w:r>
      <w:r>
        <w:t xml:space="preserve"> </w:t>
      </w:r>
      <w:r w:rsidR="002D2608">
        <w:rPr>
          <w:b/>
          <w:bCs/>
        </w:rPr>
        <w:t>t</w:t>
      </w:r>
      <w:r w:rsidR="002D2608" w:rsidRPr="00140DD8">
        <w:rPr>
          <w:b/>
          <w:bCs/>
        </w:rPr>
        <w:t>etendēruntque eī īnsidiās</w:t>
      </w:r>
      <w:r w:rsidR="002D2608">
        <w:rPr>
          <w:rFonts w:hint="eastAsia"/>
          <w:b/>
          <w:bCs/>
          <w:lang w:eastAsia="zh-TW"/>
        </w:rPr>
        <w:t xml:space="preserve">: </w:t>
      </w:r>
      <w:r w:rsidR="002D2608" w:rsidRPr="00140DD8">
        <w:rPr>
          <w:b/>
          <w:bCs/>
        </w:rPr>
        <w:t xml:space="preserve"> </w:t>
      </w:r>
      <w:r w:rsidR="002D2608">
        <w:t>“they stretched out (laid) an ambush for him” (metaphor from netting an animal).</w:t>
      </w:r>
    </w:p>
  </w:footnote>
  <w:footnote w:id="9">
    <w:p w:rsidR="00D8358B" w:rsidRDefault="00D8358B">
      <w:pPr>
        <w:pStyle w:val="FootnoteText"/>
      </w:pPr>
      <w:r>
        <w:rPr>
          <w:rStyle w:val="FootnoteReference"/>
        </w:rPr>
        <w:footnoteRef/>
      </w:r>
      <w:r>
        <w:t xml:space="preserve"> </w:t>
      </w:r>
      <w:r w:rsidR="00B91566">
        <w:rPr>
          <w:b/>
          <w:bCs/>
        </w:rPr>
        <w:t>q</w:t>
      </w:r>
      <w:r w:rsidRPr="00140DD8">
        <w:rPr>
          <w:b/>
          <w:bCs/>
        </w:rPr>
        <w:t>u</w:t>
      </w:r>
      <w:r w:rsidR="00140DD8" w:rsidRPr="00140DD8">
        <w:rPr>
          <w:b/>
          <w:bCs/>
        </w:rPr>
        <w:t>ī</w:t>
      </w:r>
      <w:r w:rsidRPr="00140DD8">
        <w:rPr>
          <w:b/>
          <w:bCs/>
        </w:rPr>
        <w:t xml:space="preserve"> conj</w:t>
      </w:r>
      <w:r w:rsidR="00140DD8" w:rsidRPr="00140DD8">
        <w:rPr>
          <w:b/>
          <w:bCs/>
        </w:rPr>
        <w:t>ū</w:t>
      </w:r>
      <w:r w:rsidRPr="00140DD8">
        <w:rPr>
          <w:b/>
          <w:bCs/>
        </w:rPr>
        <w:t>r</w:t>
      </w:r>
      <w:r w:rsidR="00140DD8" w:rsidRPr="00140DD8">
        <w:rPr>
          <w:b/>
          <w:bCs/>
        </w:rPr>
        <w:t>ā</w:t>
      </w:r>
      <w:r w:rsidRPr="00140DD8">
        <w:rPr>
          <w:b/>
          <w:bCs/>
        </w:rPr>
        <w:t xml:space="preserve">verant </w:t>
      </w:r>
      <w:r>
        <w:t>= “Those who had sworn together”</w:t>
      </w:r>
    </w:p>
  </w:footnote>
  <w:footnote w:id="10">
    <w:p w:rsidR="002F05F7" w:rsidRDefault="002F05F7" w:rsidP="002F05F7">
      <w:pPr>
        <w:pStyle w:val="FootnoteText"/>
      </w:pPr>
      <w:r>
        <w:rPr>
          <w:rStyle w:val="FootnoteReference"/>
        </w:rPr>
        <w:footnoteRef/>
      </w:r>
      <w:r>
        <w:t xml:space="preserve"> The Book of Tobias (or Tobit) is regarded as canonical by the Roman Catholic and  Eastern Orthodox Churches but not by Protestants or Jews. No complete Hebrew or Aramaic text has survived but fragments in both language discovered in 1952 amongst the Dead Sea Scrolls indicate the original composition must have been in or before the 2</w:t>
      </w:r>
      <w:r w:rsidRPr="002B218A">
        <w:rPr>
          <w:vertAlign w:val="superscript"/>
        </w:rPr>
        <w:t>nd</w:t>
      </w:r>
      <w:r>
        <w:t xml:space="preserve">. Century B.C. St Jerome tells us that he made his Latin translation from an Aramaic version. There are two different Greek versions preserved in different manuscripts of the Septuagint. See </w:t>
      </w:r>
      <w:hyperlink r:id="rId2" w:history="1">
        <w:r w:rsidRPr="0065084C">
          <w:rPr>
            <w:rStyle w:val="Hyperlink"/>
          </w:rPr>
          <w:t>https://en.wikipedia.org/wiki/Book_of_Tobit</w:t>
        </w:r>
      </w:hyperlink>
      <w:r>
        <w:t xml:space="preserve"> and  (for the Greek texts) </w:t>
      </w:r>
      <w:hyperlink r:id="rId3" w:history="1">
        <w:r w:rsidRPr="0065084C">
          <w:rPr>
            <w:rStyle w:val="Hyperlink"/>
          </w:rPr>
          <w:t>http://www.sacred-texts.com/bib/poly/tob004.htm</w:t>
        </w:r>
      </w:hyperlink>
      <w:r>
        <w:t xml:space="preserve"> </w:t>
      </w:r>
    </w:p>
  </w:footnote>
  <w:footnote w:id="11">
    <w:p w:rsidR="00B71D73" w:rsidRDefault="00B71D73">
      <w:pPr>
        <w:pStyle w:val="FootnoteText"/>
      </w:pPr>
      <w:r>
        <w:rPr>
          <w:rStyle w:val="FootnoteReference"/>
        </w:rPr>
        <w:footnoteRef/>
      </w:r>
      <w:r>
        <w:t xml:space="preserve"> </w:t>
      </w:r>
      <w:r w:rsidR="00B91566">
        <w:rPr>
          <w:b/>
          <w:bCs/>
        </w:rPr>
        <w:t>i</w:t>
      </w:r>
      <w:r w:rsidRPr="00140DD8">
        <w:rPr>
          <w:b/>
          <w:bCs/>
        </w:rPr>
        <w:t>n corde tu</w:t>
      </w:r>
      <w:r w:rsidR="00140DD8" w:rsidRPr="00140DD8">
        <w:rPr>
          <w:b/>
          <w:bCs/>
        </w:rPr>
        <w:t>ō</w:t>
      </w:r>
      <w:r w:rsidRPr="00140DD8">
        <w:rPr>
          <w:b/>
          <w:bCs/>
        </w:rPr>
        <w:t xml:space="preserve"> quasi fund</w:t>
      </w:r>
      <w:r w:rsidR="00F076A4">
        <w:rPr>
          <w:b/>
          <w:bCs/>
        </w:rPr>
        <w:t>ā</w:t>
      </w:r>
      <w:r w:rsidRPr="00140DD8">
        <w:rPr>
          <w:b/>
          <w:bCs/>
        </w:rPr>
        <w:t>mentum c</w:t>
      </w:r>
      <w:r w:rsidR="00140DD8" w:rsidRPr="00140DD8">
        <w:rPr>
          <w:b/>
          <w:bCs/>
        </w:rPr>
        <w:t>ō</w:t>
      </w:r>
      <w:r w:rsidRPr="00140DD8">
        <w:rPr>
          <w:b/>
          <w:bCs/>
        </w:rPr>
        <w:t xml:space="preserve">nstrue </w:t>
      </w:r>
      <w:r>
        <w:t>= “Make of [them] as it were a foundation in your heart”</w:t>
      </w:r>
    </w:p>
  </w:footnote>
  <w:footnote w:id="12">
    <w:p w:rsidR="00B71D73" w:rsidRDefault="00B71D73">
      <w:pPr>
        <w:pStyle w:val="FootnoteText"/>
      </w:pPr>
      <w:r>
        <w:rPr>
          <w:rStyle w:val="FootnoteReference"/>
        </w:rPr>
        <w:footnoteRef/>
      </w:r>
      <w:r w:rsidRPr="00140DD8">
        <w:rPr>
          <w:b/>
          <w:bCs/>
        </w:rPr>
        <w:t xml:space="preserve"> </w:t>
      </w:r>
      <w:r w:rsidR="00B91566">
        <w:rPr>
          <w:b/>
          <w:bCs/>
        </w:rPr>
        <w:t>s</w:t>
      </w:r>
      <w:r w:rsidRPr="00140DD8">
        <w:rPr>
          <w:b/>
          <w:bCs/>
        </w:rPr>
        <w:t>epel</w:t>
      </w:r>
      <w:r w:rsidR="00140DD8">
        <w:rPr>
          <w:b/>
          <w:bCs/>
        </w:rPr>
        <w:t>ī</w:t>
      </w:r>
      <w:r w:rsidRPr="00140DD8">
        <w:rPr>
          <w:b/>
          <w:bCs/>
        </w:rPr>
        <w:t xml:space="preserve"> </w:t>
      </w:r>
      <w:r>
        <w:t>= “Bury”</w:t>
      </w:r>
    </w:p>
  </w:footnote>
  <w:footnote w:id="13">
    <w:p w:rsidR="001F02BD" w:rsidRDefault="001F02BD">
      <w:pPr>
        <w:pStyle w:val="FootnoteText"/>
      </w:pPr>
      <w:r>
        <w:rPr>
          <w:rStyle w:val="FootnoteReference"/>
        </w:rPr>
        <w:footnoteRef/>
      </w:r>
      <w:r>
        <w:t xml:space="preserve"> </w:t>
      </w:r>
      <w:r w:rsidR="00B91566">
        <w:rPr>
          <w:b/>
          <w:bCs/>
        </w:rPr>
        <w:t>m</w:t>
      </w:r>
      <w:r w:rsidRPr="002C0166">
        <w:rPr>
          <w:b/>
          <w:bCs/>
        </w:rPr>
        <w:t>emor enim esse d</w:t>
      </w:r>
      <w:r w:rsidR="00211BCD">
        <w:rPr>
          <w:b/>
          <w:bCs/>
        </w:rPr>
        <w:t>ē</w:t>
      </w:r>
      <w:r w:rsidRPr="002C0166">
        <w:rPr>
          <w:b/>
          <w:bCs/>
        </w:rPr>
        <w:t>b</w:t>
      </w:r>
      <w:r w:rsidR="00211BCD">
        <w:rPr>
          <w:b/>
          <w:bCs/>
        </w:rPr>
        <w:t>ē</w:t>
      </w:r>
      <w:r w:rsidRPr="002C0166">
        <w:rPr>
          <w:b/>
          <w:bCs/>
        </w:rPr>
        <w:t>s quæ et quanta pericula passa sit propter t</w:t>
      </w:r>
      <w:r w:rsidR="000C24DC">
        <w:rPr>
          <w:b/>
          <w:bCs/>
        </w:rPr>
        <w:t>ē</w:t>
      </w:r>
      <w:r w:rsidRPr="002C0166">
        <w:rPr>
          <w:b/>
          <w:bCs/>
        </w:rPr>
        <w:t xml:space="preserve"> in uter</w:t>
      </w:r>
      <w:r w:rsidR="000C24DC">
        <w:rPr>
          <w:b/>
          <w:bCs/>
        </w:rPr>
        <w:t xml:space="preserve">ō </w:t>
      </w:r>
      <w:r w:rsidRPr="002C0166">
        <w:rPr>
          <w:b/>
          <w:bCs/>
        </w:rPr>
        <w:t>su</w:t>
      </w:r>
      <w:r w:rsidR="000C24DC">
        <w:rPr>
          <w:b/>
          <w:bCs/>
        </w:rPr>
        <w:t>ō</w:t>
      </w:r>
      <w:r>
        <w:t xml:space="preserve"> = “You ought to bear in mind those dangers, and how many, she suffered in her womb for you” </w:t>
      </w:r>
    </w:p>
  </w:footnote>
  <w:footnote w:id="14">
    <w:p w:rsidR="001F02BD" w:rsidRDefault="001F02BD">
      <w:pPr>
        <w:pStyle w:val="FootnoteText"/>
      </w:pPr>
      <w:r>
        <w:rPr>
          <w:rStyle w:val="FootnoteReference"/>
        </w:rPr>
        <w:footnoteRef/>
      </w:r>
      <w:r>
        <w:t xml:space="preserve"> </w:t>
      </w:r>
      <w:r w:rsidR="00B91566">
        <w:rPr>
          <w:b/>
          <w:bCs/>
        </w:rPr>
        <w:t>p</w:t>
      </w:r>
      <w:r w:rsidRPr="002C0166">
        <w:rPr>
          <w:b/>
          <w:bCs/>
        </w:rPr>
        <w:t>rætermitt</w:t>
      </w:r>
      <w:r w:rsidR="00211BCD">
        <w:rPr>
          <w:b/>
          <w:bCs/>
        </w:rPr>
        <w:t>ā</w:t>
      </w:r>
      <w:r w:rsidRPr="002C0166">
        <w:rPr>
          <w:b/>
          <w:bCs/>
        </w:rPr>
        <w:t>s præcepta</w:t>
      </w:r>
      <w:r>
        <w:t xml:space="preserve"> = “Break the precepts”</w:t>
      </w:r>
    </w:p>
  </w:footnote>
  <w:footnote w:id="15">
    <w:p w:rsidR="00B6589E" w:rsidRDefault="00B6589E">
      <w:pPr>
        <w:pStyle w:val="FootnoteText"/>
      </w:pPr>
      <w:r>
        <w:rPr>
          <w:rStyle w:val="FootnoteReference"/>
        </w:rPr>
        <w:footnoteRef/>
      </w:r>
      <w:r>
        <w:t xml:space="preserve"> </w:t>
      </w:r>
      <w:r w:rsidR="00B91566">
        <w:rPr>
          <w:b/>
          <w:bCs/>
        </w:rPr>
        <w:t>f</w:t>
      </w:r>
      <w:r w:rsidRPr="002C0166">
        <w:rPr>
          <w:b/>
          <w:bCs/>
        </w:rPr>
        <w:t>ac ele</w:t>
      </w:r>
      <w:r w:rsidR="00211BCD">
        <w:rPr>
          <w:b/>
          <w:bCs/>
        </w:rPr>
        <w:t>ē</w:t>
      </w:r>
      <w:r w:rsidRPr="002C0166">
        <w:rPr>
          <w:b/>
          <w:bCs/>
        </w:rPr>
        <w:t>mosyna</w:t>
      </w:r>
      <w:r w:rsidR="002C0166" w:rsidRPr="002C0166">
        <w:rPr>
          <w:b/>
          <w:bCs/>
        </w:rPr>
        <w:t>m</w:t>
      </w:r>
      <w:r w:rsidRPr="002C0166">
        <w:rPr>
          <w:b/>
          <w:bCs/>
        </w:rPr>
        <w:t xml:space="preserve"> </w:t>
      </w:r>
      <w:r>
        <w:t>= “Give alms”</w:t>
      </w:r>
    </w:p>
  </w:footnote>
  <w:footnote w:id="16">
    <w:p w:rsidR="00B6589E" w:rsidRDefault="00B6589E">
      <w:pPr>
        <w:pStyle w:val="FootnoteText"/>
      </w:pPr>
      <w:r>
        <w:rPr>
          <w:rStyle w:val="FootnoteReference"/>
        </w:rPr>
        <w:footnoteRef/>
      </w:r>
      <w:r>
        <w:t xml:space="preserve"> </w:t>
      </w:r>
      <w:r w:rsidR="00B91566">
        <w:rPr>
          <w:b/>
          <w:bCs/>
        </w:rPr>
        <w:t>s</w:t>
      </w:r>
      <w:r w:rsidRPr="002C0166">
        <w:rPr>
          <w:b/>
          <w:bCs/>
        </w:rPr>
        <w:t>i exiguum tibi fuerit, etiam exiguum libenter impert</w:t>
      </w:r>
      <w:r w:rsidR="000C24DC">
        <w:rPr>
          <w:b/>
          <w:bCs/>
        </w:rPr>
        <w:t>ī</w:t>
      </w:r>
      <w:r w:rsidRPr="002C0166">
        <w:rPr>
          <w:b/>
          <w:bCs/>
        </w:rPr>
        <w:t>r</w:t>
      </w:r>
      <w:r w:rsidR="000C24DC">
        <w:rPr>
          <w:b/>
          <w:bCs/>
        </w:rPr>
        <w:t xml:space="preserve">ī </w:t>
      </w:r>
      <w:r w:rsidRPr="002C0166">
        <w:rPr>
          <w:b/>
          <w:bCs/>
        </w:rPr>
        <w:t>stud</w:t>
      </w:r>
      <w:r w:rsidR="000C24DC">
        <w:rPr>
          <w:b/>
          <w:bCs/>
        </w:rPr>
        <w:t>ē</w:t>
      </w:r>
      <w:r>
        <w:t xml:space="preserve"> = “If you have little, do not fear to give </w:t>
      </w:r>
      <w:r w:rsidR="000C24DC">
        <w:t>gladly</w:t>
      </w:r>
      <w:r>
        <w:t xml:space="preserve"> from that little”</w:t>
      </w:r>
    </w:p>
  </w:footnote>
  <w:footnote w:id="17">
    <w:p w:rsidR="00B6589E" w:rsidRDefault="00B6589E">
      <w:pPr>
        <w:pStyle w:val="FootnoteText"/>
      </w:pPr>
      <w:r>
        <w:rPr>
          <w:rStyle w:val="FootnoteReference"/>
        </w:rPr>
        <w:footnoteRef/>
      </w:r>
      <w:r>
        <w:t xml:space="preserve"> </w:t>
      </w:r>
      <w:r w:rsidR="00B91566">
        <w:rPr>
          <w:b/>
          <w:bCs/>
        </w:rPr>
        <w:t>p</w:t>
      </w:r>
      <w:r w:rsidRPr="002B218A">
        <w:rPr>
          <w:b/>
          <w:bCs/>
        </w:rPr>
        <w:t>ræmium enim bonum tibi th</w:t>
      </w:r>
      <w:r w:rsidR="000C24DC">
        <w:rPr>
          <w:b/>
          <w:bCs/>
        </w:rPr>
        <w:t>ē</w:t>
      </w:r>
      <w:r w:rsidRPr="002B218A">
        <w:rPr>
          <w:b/>
          <w:bCs/>
        </w:rPr>
        <w:t>sauriz</w:t>
      </w:r>
      <w:r w:rsidR="000C24DC">
        <w:rPr>
          <w:b/>
          <w:bCs/>
        </w:rPr>
        <w:t>ā</w:t>
      </w:r>
      <w:r w:rsidRPr="002B218A">
        <w:rPr>
          <w:b/>
          <w:bCs/>
        </w:rPr>
        <w:t>s in die necessit</w:t>
      </w:r>
      <w:r w:rsidR="000C24DC">
        <w:rPr>
          <w:b/>
          <w:bCs/>
        </w:rPr>
        <w:t>ā</w:t>
      </w:r>
      <w:r w:rsidRPr="002B218A">
        <w:rPr>
          <w:b/>
          <w:bCs/>
        </w:rPr>
        <w:t>t</w:t>
      </w:r>
      <w:r w:rsidR="000C24DC">
        <w:rPr>
          <w:b/>
          <w:bCs/>
        </w:rPr>
        <w:t>ī</w:t>
      </w:r>
      <w:r>
        <w:t xml:space="preserve"> = “It will be for you a good thing stored away </w:t>
      </w:r>
      <w:r w:rsidR="00962479">
        <w:t>[</w:t>
      </w:r>
      <w:r w:rsidR="00962479" w:rsidRPr="007D3906">
        <w:rPr>
          <w:b/>
          <w:bCs/>
        </w:rPr>
        <w:t>th</w:t>
      </w:r>
      <w:r w:rsidR="007D3906" w:rsidRPr="007D3906">
        <w:rPr>
          <w:b/>
          <w:bCs/>
        </w:rPr>
        <w:t>ē</w:t>
      </w:r>
      <w:r w:rsidR="00962479" w:rsidRPr="007D3906">
        <w:rPr>
          <w:b/>
          <w:bCs/>
        </w:rPr>
        <w:t>sauriz</w:t>
      </w:r>
      <w:r w:rsidR="000C24DC">
        <w:rPr>
          <w:b/>
          <w:bCs/>
        </w:rPr>
        <w:t>ā</w:t>
      </w:r>
      <w:r w:rsidR="00962479" w:rsidRPr="007D3906">
        <w:rPr>
          <w:b/>
          <w:bCs/>
        </w:rPr>
        <w:t>s</w:t>
      </w:r>
      <w:r w:rsidR="00962479">
        <w:t xml:space="preserve"> = </w:t>
      </w:r>
      <w:r w:rsidR="00453CCB">
        <w:t>you place in the treasury</w:t>
      </w:r>
      <w:r w:rsidR="007D3906">
        <w:t>]</w:t>
      </w:r>
      <w:r w:rsidR="00453CCB">
        <w:t xml:space="preserve"> a</w:t>
      </w:r>
      <w:r>
        <w:t>gainst the day when you need it”</w:t>
      </w:r>
    </w:p>
  </w:footnote>
  <w:footnote w:id="18">
    <w:p w:rsidR="00B6589E" w:rsidRDefault="00B6589E">
      <w:pPr>
        <w:pStyle w:val="FootnoteText"/>
      </w:pPr>
      <w:r>
        <w:rPr>
          <w:rStyle w:val="FootnoteReference"/>
        </w:rPr>
        <w:footnoteRef/>
      </w:r>
      <w:r>
        <w:t xml:space="preserve"> </w:t>
      </w:r>
      <w:r w:rsidR="00B91566">
        <w:rPr>
          <w:b/>
          <w:bCs/>
        </w:rPr>
        <w:t>n</w:t>
      </w:r>
      <w:r w:rsidR="007D3906" w:rsidRPr="007D3906">
        <w:rPr>
          <w:b/>
          <w:bCs/>
        </w:rPr>
        <w:t>ō</w:t>
      </w:r>
      <w:r w:rsidR="00962479" w:rsidRPr="007D3906">
        <w:rPr>
          <w:b/>
          <w:bCs/>
        </w:rPr>
        <w:t>n pati</w:t>
      </w:r>
      <w:r w:rsidR="007D3906" w:rsidRPr="007D3906">
        <w:rPr>
          <w:b/>
          <w:bCs/>
        </w:rPr>
        <w:t>ē</w:t>
      </w:r>
      <w:r w:rsidR="00962479" w:rsidRPr="007D3906">
        <w:rPr>
          <w:b/>
          <w:bCs/>
        </w:rPr>
        <w:t xml:space="preserve">tur animam </w:t>
      </w:r>
      <w:r w:rsidR="007D3906" w:rsidRPr="007D3906">
        <w:rPr>
          <w:b/>
          <w:bCs/>
        </w:rPr>
        <w:t>ī</w:t>
      </w:r>
      <w:r w:rsidR="00962479" w:rsidRPr="007D3906">
        <w:rPr>
          <w:b/>
          <w:bCs/>
        </w:rPr>
        <w:t>re in tenebr</w:t>
      </w:r>
      <w:r w:rsidR="007D3906" w:rsidRPr="007D3906">
        <w:rPr>
          <w:b/>
          <w:bCs/>
        </w:rPr>
        <w:t>ā</w:t>
      </w:r>
      <w:r w:rsidR="00962479" w:rsidRPr="007D3906">
        <w:rPr>
          <w:b/>
          <w:bCs/>
        </w:rPr>
        <w:t>s</w:t>
      </w:r>
      <w:r w:rsidR="00962479">
        <w:t xml:space="preserve"> = “And</w:t>
      </w:r>
      <w:r w:rsidR="00BF157C">
        <w:t xml:space="preserve"> will not allow your soul</w:t>
      </w:r>
      <w:r w:rsidR="00962479">
        <w:t xml:space="preserve"> to go into the darkness”</w:t>
      </w:r>
    </w:p>
  </w:footnote>
  <w:footnote w:id="19">
    <w:p w:rsidR="00962479" w:rsidRDefault="00962479">
      <w:pPr>
        <w:pStyle w:val="FootnoteText"/>
      </w:pPr>
      <w:r>
        <w:rPr>
          <w:rStyle w:val="FootnoteReference"/>
        </w:rPr>
        <w:footnoteRef/>
      </w:r>
      <w:r>
        <w:t xml:space="preserve"> </w:t>
      </w:r>
      <w:r w:rsidR="00B91566">
        <w:rPr>
          <w:b/>
          <w:bCs/>
        </w:rPr>
        <w:t>f</w:t>
      </w:r>
      <w:r w:rsidR="007D3906" w:rsidRPr="00211BCD">
        <w:rPr>
          <w:b/>
          <w:bCs/>
        </w:rPr>
        <w:t>ī</w:t>
      </w:r>
      <w:r w:rsidRPr="00211BCD">
        <w:rPr>
          <w:b/>
          <w:bCs/>
        </w:rPr>
        <w:t>d</w:t>
      </w:r>
      <w:r w:rsidR="007D3906" w:rsidRPr="00211BCD">
        <w:rPr>
          <w:b/>
          <w:bCs/>
        </w:rPr>
        <w:t>ū</w:t>
      </w:r>
      <w:r w:rsidRPr="00211BCD">
        <w:rPr>
          <w:b/>
          <w:bCs/>
        </w:rPr>
        <w:t>cia magna</w:t>
      </w:r>
      <w:r w:rsidRPr="007D3906">
        <w:rPr>
          <w:i/>
          <w:iCs/>
        </w:rPr>
        <w:t xml:space="preserve"> </w:t>
      </w:r>
      <w:r>
        <w:t>= “Great trust”</w:t>
      </w:r>
      <w:r w:rsidR="0064363E">
        <w:t xml:space="preserve"> “great savings”</w:t>
      </w:r>
    </w:p>
  </w:footnote>
  <w:footnote w:id="20">
    <w:p w:rsidR="008970E1" w:rsidRDefault="008970E1">
      <w:pPr>
        <w:pStyle w:val="FootnoteText"/>
      </w:pPr>
      <w:r>
        <w:rPr>
          <w:rStyle w:val="FootnoteReference"/>
        </w:rPr>
        <w:footnoteRef/>
      </w:r>
      <w:r>
        <w:t xml:space="preserve"> </w:t>
      </w:r>
      <w:r w:rsidR="00B91566">
        <w:rPr>
          <w:b/>
          <w:bCs/>
        </w:rPr>
        <w:t>a</w:t>
      </w:r>
      <w:r w:rsidRPr="00211BCD">
        <w:rPr>
          <w:b/>
          <w:bCs/>
        </w:rPr>
        <w:t>biit in c</w:t>
      </w:r>
      <w:r w:rsidR="00211BCD">
        <w:rPr>
          <w:b/>
          <w:bCs/>
        </w:rPr>
        <w:t>ō</w:t>
      </w:r>
      <w:r w:rsidRPr="00211BCD">
        <w:rPr>
          <w:b/>
          <w:bCs/>
        </w:rPr>
        <w:t>nsili</w:t>
      </w:r>
      <w:r w:rsidR="00A10E58">
        <w:rPr>
          <w:b/>
          <w:bCs/>
        </w:rPr>
        <w:t>ō</w:t>
      </w:r>
      <w:r>
        <w:t xml:space="preserve"> = “Take council with”</w:t>
      </w:r>
      <w:r w:rsidR="00A00A35">
        <w:t xml:space="preserve"> “take advice from”</w:t>
      </w:r>
    </w:p>
  </w:footnote>
  <w:footnote w:id="21">
    <w:p w:rsidR="008970E1" w:rsidRDefault="008970E1">
      <w:pPr>
        <w:pStyle w:val="FootnoteText"/>
      </w:pPr>
      <w:r>
        <w:rPr>
          <w:rStyle w:val="FootnoteReference"/>
        </w:rPr>
        <w:footnoteRef/>
      </w:r>
      <w:r>
        <w:t xml:space="preserve"> </w:t>
      </w:r>
      <w:r w:rsidR="00B91566">
        <w:rPr>
          <w:b/>
          <w:bCs/>
        </w:rPr>
        <w:t>c</w:t>
      </w:r>
      <w:r w:rsidRPr="00EA4E8A">
        <w:rPr>
          <w:b/>
          <w:bCs/>
        </w:rPr>
        <w:t>athedr</w:t>
      </w:r>
      <w:r>
        <w:t>a = “Chair, throne”</w:t>
      </w:r>
    </w:p>
  </w:footnote>
  <w:footnote w:id="22">
    <w:p w:rsidR="008970E1" w:rsidRDefault="008970E1">
      <w:pPr>
        <w:pStyle w:val="FootnoteText"/>
      </w:pPr>
      <w:r>
        <w:rPr>
          <w:rStyle w:val="FootnoteReference"/>
        </w:rPr>
        <w:footnoteRef/>
      </w:r>
      <w:r>
        <w:t xml:space="preserve"> </w:t>
      </w:r>
      <w:r w:rsidR="00B91566">
        <w:rPr>
          <w:b/>
          <w:bCs/>
        </w:rPr>
        <w:t>d</w:t>
      </w:r>
      <w:r w:rsidR="00A10E58">
        <w:rPr>
          <w:b/>
          <w:bCs/>
        </w:rPr>
        <w:t>ē</w:t>
      </w:r>
      <w:r w:rsidRPr="00A10E58">
        <w:rPr>
          <w:b/>
          <w:bCs/>
        </w:rPr>
        <w:t>curs</w:t>
      </w:r>
      <w:r w:rsidR="006F7700">
        <w:rPr>
          <w:b/>
          <w:bCs/>
        </w:rPr>
        <w:t>ū</w:t>
      </w:r>
      <w:r w:rsidRPr="00A10E58">
        <w:rPr>
          <w:b/>
          <w:bCs/>
        </w:rPr>
        <w:t>s aquarum</w:t>
      </w:r>
      <w:r>
        <w:t xml:space="preserve"> = “Running water”</w:t>
      </w:r>
      <w:r w:rsidR="006F7700">
        <w:t xml:space="preserve">; </w:t>
      </w:r>
      <w:r w:rsidR="006F7700" w:rsidRPr="006F7700">
        <w:rPr>
          <w:b/>
          <w:bCs/>
        </w:rPr>
        <w:t>dēcursus</w:t>
      </w:r>
      <w:r w:rsidR="006F7700">
        <w:t xml:space="preserve"> originally meant `running down’ but also came to mean a channel (e.g. an aqueduct) through which water descends</w:t>
      </w:r>
    </w:p>
  </w:footnote>
  <w:footnote w:id="23">
    <w:p w:rsidR="006F7700" w:rsidRDefault="006F7700">
      <w:pPr>
        <w:pStyle w:val="FootnoteText"/>
      </w:pPr>
      <w:r>
        <w:rPr>
          <w:rStyle w:val="FootnoteReference"/>
        </w:rPr>
        <w:footnoteRef/>
      </w:r>
      <w:r>
        <w:t xml:space="preserve"> Notice the short medial vowel; </w:t>
      </w:r>
      <w:r w:rsidRPr="006F7700">
        <w:rPr>
          <w:b/>
          <w:bCs/>
        </w:rPr>
        <w:t>dō, dare, dedī ,datum</w:t>
      </w:r>
      <w:r>
        <w:t xml:space="preserve"> was originally a fully irregular verb but was later absorbed into the first conjugation whilst still normally retaining short `</w:t>
      </w:r>
      <w:r w:rsidRPr="006F7700">
        <w:rPr>
          <w:b/>
          <w:bCs/>
        </w:rPr>
        <w:t>a</w:t>
      </w:r>
      <w:r>
        <w:t xml:space="preserve">’ </w:t>
      </w:r>
    </w:p>
  </w:footnote>
  <w:footnote w:id="24">
    <w:p w:rsidR="00A00A35" w:rsidRDefault="00A00A35">
      <w:pPr>
        <w:pStyle w:val="FootnoteText"/>
      </w:pPr>
      <w:r>
        <w:rPr>
          <w:rStyle w:val="FootnoteReference"/>
        </w:rPr>
        <w:footnoteRef/>
      </w:r>
      <w:r w:rsidRPr="006F7700">
        <w:rPr>
          <w:b/>
          <w:bCs/>
        </w:rPr>
        <w:t xml:space="preserve"> </w:t>
      </w:r>
      <w:r w:rsidR="00B91566">
        <w:rPr>
          <w:b/>
          <w:bCs/>
        </w:rPr>
        <w:t>d</w:t>
      </w:r>
      <w:r w:rsidR="006F7700" w:rsidRPr="006F7700">
        <w:rPr>
          <w:b/>
          <w:bCs/>
        </w:rPr>
        <w:t>ē</w:t>
      </w:r>
      <w:r w:rsidRPr="006F7700">
        <w:rPr>
          <w:b/>
          <w:bCs/>
        </w:rPr>
        <w:t>fluet</w:t>
      </w:r>
      <w:r>
        <w:t xml:space="preserve"> = “</w:t>
      </w:r>
      <w:r w:rsidR="006F7700">
        <w:t>will wither</w:t>
      </w:r>
      <w:r>
        <w:t>”</w:t>
      </w:r>
      <w:r w:rsidR="00EA4E8A">
        <w:t xml:space="preserve"> (literally `will flow down’)</w:t>
      </w:r>
    </w:p>
  </w:footnote>
  <w:footnote w:id="25">
    <w:p w:rsidR="008970E1" w:rsidRDefault="008970E1">
      <w:pPr>
        <w:pStyle w:val="FootnoteText"/>
      </w:pPr>
      <w:r>
        <w:rPr>
          <w:rStyle w:val="FootnoteReference"/>
        </w:rPr>
        <w:footnoteRef/>
      </w:r>
      <w:r>
        <w:t xml:space="preserve"> </w:t>
      </w:r>
      <w:r w:rsidR="00B91566">
        <w:rPr>
          <w:b/>
          <w:bCs/>
        </w:rPr>
        <w:t>p</w:t>
      </w:r>
      <w:r w:rsidRPr="00EA4E8A">
        <w:rPr>
          <w:b/>
          <w:bCs/>
        </w:rPr>
        <w:t>ulvis</w:t>
      </w:r>
      <w:r>
        <w:t xml:space="preserve"> = “Dust”</w:t>
      </w:r>
      <w:r w:rsidR="00EA4E8A">
        <w:t xml:space="preserve"> The Hebrew is more accurately translated as `chaff’ (i.e. the h</w:t>
      </w:r>
      <w:r w:rsidR="00247C40">
        <w:t>u</w:t>
      </w:r>
      <w:r w:rsidR="00EA4E8A">
        <w:t>sks etc. separated from the corn in winnowing).</w:t>
      </w:r>
    </w:p>
  </w:footnote>
  <w:footnote w:id="26">
    <w:p w:rsidR="00A00A35" w:rsidRPr="00A10E58" w:rsidRDefault="00A00A35">
      <w:pPr>
        <w:pStyle w:val="FootnoteText"/>
        <w:rPr>
          <w:rFonts w:cstheme="minorBidi"/>
          <w:szCs w:val="18"/>
          <w:cs/>
          <w:lang w:bidi="ne-NP"/>
        </w:rPr>
      </w:pPr>
      <w:r>
        <w:rPr>
          <w:rStyle w:val="FootnoteReference"/>
        </w:rPr>
        <w:footnoteRef/>
      </w:r>
      <w:r>
        <w:t xml:space="preserve"> </w:t>
      </w:r>
      <w:r w:rsidR="00B91566">
        <w:rPr>
          <w:b/>
          <w:bCs/>
        </w:rPr>
        <w:t>r</w:t>
      </w:r>
      <w:r w:rsidRPr="00F73364">
        <w:rPr>
          <w:b/>
          <w:bCs/>
        </w:rPr>
        <w:t>esurgen</w:t>
      </w:r>
      <w:r>
        <w:t>t = here “</w:t>
      </w:r>
      <w:r w:rsidR="00F73364">
        <w:t>will be found</w:t>
      </w:r>
      <w:r>
        <w:t xml:space="preserve"> innocent”</w:t>
      </w:r>
      <w:r w:rsidR="00F73364">
        <w:t xml:space="preserve"> (literally `will not rise (again)’). The reference might be to judgement at any time or to God’s Last Judgement,</w:t>
      </w:r>
    </w:p>
  </w:footnote>
  <w:footnote w:id="27">
    <w:p w:rsidR="0064363E" w:rsidRDefault="0064363E">
      <w:pPr>
        <w:pStyle w:val="FootnoteText"/>
      </w:pPr>
      <w:r>
        <w:rPr>
          <w:rStyle w:val="FootnoteReference"/>
        </w:rPr>
        <w:footnoteRef/>
      </w:r>
      <w:r>
        <w:t xml:space="preserve"> </w:t>
      </w:r>
      <w:r w:rsidR="00B91566">
        <w:rPr>
          <w:b/>
          <w:bCs/>
        </w:rPr>
        <w:t>v</w:t>
      </w:r>
      <w:r w:rsidRPr="00247C40">
        <w:rPr>
          <w:b/>
          <w:bCs/>
        </w:rPr>
        <w:t>irga</w:t>
      </w:r>
      <w:r>
        <w:t xml:space="preserve"> = “Rod”</w:t>
      </w:r>
    </w:p>
  </w:footnote>
  <w:footnote w:id="28">
    <w:p w:rsidR="0064363E" w:rsidRDefault="0064363E">
      <w:pPr>
        <w:pStyle w:val="FootnoteText"/>
      </w:pPr>
      <w:r>
        <w:rPr>
          <w:rStyle w:val="FootnoteReference"/>
        </w:rPr>
        <w:footnoteRef/>
      </w:r>
      <w:r>
        <w:t xml:space="preserve"> </w:t>
      </w:r>
      <w:r w:rsidR="00B91566">
        <w:rPr>
          <w:b/>
          <w:bCs/>
        </w:rPr>
        <w:t>r</w:t>
      </w:r>
      <w:r w:rsidRPr="00247C40">
        <w:rPr>
          <w:b/>
          <w:bCs/>
        </w:rPr>
        <w:t>adix – rad</w:t>
      </w:r>
      <w:r w:rsidR="00F73364" w:rsidRPr="00247C40">
        <w:rPr>
          <w:b/>
          <w:bCs/>
        </w:rPr>
        <w:t>ī</w:t>
      </w:r>
      <w:r w:rsidRPr="00247C40">
        <w:rPr>
          <w:b/>
          <w:bCs/>
        </w:rPr>
        <w:t>cis</w:t>
      </w:r>
      <w:r w:rsidR="00F73364" w:rsidRPr="00247C40">
        <w:rPr>
          <w:b/>
          <w:bCs/>
        </w:rPr>
        <w:t xml:space="preserve"> </w:t>
      </w:r>
      <w:r w:rsidR="00F73364">
        <w:t xml:space="preserve">f </w:t>
      </w:r>
      <w:r>
        <w:t xml:space="preserve"> = “Root”</w:t>
      </w:r>
    </w:p>
  </w:footnote>
  <w:footnote w:id="29">
    <w:p w:rsidR="0076162C" w:rsidRDefault="0076162C">
      <w:pPr>
        <w:pStyle w:val="FootnoteText"/>
      </w:pPr>
      <w:r>
        <w:rPr>
          <w:rStyle w:val="FootnoteReference"/>
        </w:rPr>
        <w:footnoteRef/>
      </w:r>
      <w:r>
        <w:t xml:space="preserve"> </w:t>
      </w:r>
      <w:r w:rsidR="002D2608">
        <w:rPr>
          <w:b/>
          <w:bCs/>
        </w:rPr>
        <w:t>a</w:t>
      </w:r>
      <w:r w:rsidR="002D2608" w:rsidRPr="00247C40">
        <w:rPr>
          <w:b/>
          <w:bCs/>
        </w:rPr>
        <w:t>rguet in æquit</w:t>
      </w:r>
      <w:r w:rsidR="002D2608">
        <w:rPr>
          <w:b/>
          <w:bCs/>
        </w:rPr>
        <w:t>ā</w:t>
      </w:r>
      <w:r w:rsidR="002D2608" w:rsidRPr="00247C40">
        <w:rPr>
          <w:b/>
          <w:bCs/>
        </w:rPr>
        <w:t>te pro mansu</w:t>
      </w:r>
      <w:r w:rsidR="002D2608">
        <w:rPr>
          <w:b/>
          <w:bCs/>
        </w:rPr>
        <w:t>ē</w:t>
      </w:r>
      <w:r w:rsidR="002D2608" w:rsidRPr="00247C40">
        <w:rPr>
          <w:b/>
          <w:bCs/>
        </w:rPr>
        <w:t>t</w:t>
      </w:r>
      <w:r w:rsidR="002D2608">
        <w:rPr>
          <w:b/>
          <w:bCs/>
        </w:rPr>
        <w:t>ī</w:t>
      </w:r>
      <w:r w:rsidR="002D2608" w:rsidRPr="00247C40">
        <w:rPr>
          <w:b/>
          <w:bCs/>
        </w:rPr>
        <w:t xml:space="preserve">s terræ </w:t>
      </w:r>
      <w:r w:rsidR="002D2608">
        <w:t>= “He will give fair sentences for the meek ones in the land”. The original Hebrew means `poor, lowly’,</w:t>
      </w:r>
      <w:r w:rsidR="002D2608" w:rsidRPr="00E56680">
        <w:rPr>
          <w:b/>
          <w:bCs/>
        </w:rPr>
        <w:t xml:space="preserve"> mānsuētus</w:t>
      </w:r>
      <w:r w:rsidR="002D2608">
        <w:t xml:space="preserve"> normally means `tame, mild, gentle’</w:t>
      </w:r>
    </w:p>
  </w:footnote>
  <w:footnote w:id="30">
    <w:p w:rsidR="0076162C" w:rsidRDefault="0076162C">
      <w:pPr>
        <w:pStyle w:val="FootnoteText"/>
      </w:pPr>
      <w:r>
        <w:rPr>
          <w:rStyle w:val="FootnoteReference"/>
        </w:rPr>
        <w:footnoteRef/>
      </w:r>
      <w:r>
        <w:t xml:space="preserve"> </w:t>
      </w:r>
      <w:r w:rsidR="00B91566">
        <w:rPr>
          <w:b/>
          <w:bCs/>
        </w:rPr>
        <w:t>s</w:t>
      </w:r>
      <w:r w:rsidRPr="00A03384">
        <w:rPr>
          <w:b/>
          <w:bCs/>
        </w:rPr>
        <w:t>p</w:t>
      </w:r>
      <w:r w:rsidR="00B91566">
        <w:rPr>
          <w:b/>
          <w:bCs/>
        </w:rPr>
        <w:t>ī</w:t>
      </w:r>
      <w:r w:rsidRPr="00A03384">
        <w:rPr>
          <w:b/>
          <w:bCs/>
        </w:rPr>
        <w:t>rit</w:t>
      </w:r>
      <w:r w:rsidR="00247C40" w:rsidRPr="00A03384">
        <w:rPr>
          <w:b/>
          <w:bCs/>
        </w:rPr>
        <w:t>ō</w:t>
      </w:r>
      <w:r w:rsidRPr="00A03384">
        <w:rPr>
          <w:b/>
          <w:bCs/>
        </w:rPr>
        <w:t xml:space="preserve"> labi</w:t>
      </w:r>
      <w:r w:rsidR="00A03384">
        <w:rPr>
          <w:b/>
          <w:bCs/>
        </w:rPr>
        <w:t>ō</w:t>
      </w:r>
      <w:r w:rsidRPr="00A03384">
        <w:rPr>
          <w:b/>
          <w:bCs/>
        </w:rPr>
        <w:t>rum suorum</w:t>
      </w:r>
      <w:r>
        <w:t xml:space="preserve"> = “By the breath of his lips”</w:t>
      </w:r>
    </w:p>
  </w:footnote>
  <w:footnote w:id="31">
    <w:p w:rsidR="0076162C" w:rsidRDefault="0076162C" w:rsidP="0076162C">
      <w:pPr>
        <w:pStyle w:val="FootnoteText"/>
      </w:pPr>
      <w:r>
        <w:rPr>
          <w:rStyle w:val="FootnoteReference"/>
        </w:rPr>
        <w:footnoteRef/>
      </w:r>
      <w:r>
        <w:t xml:space="preserve"> </w:t>
      </w:r>
      <w:r w:rsidR="00B91566">
        <w:rPr>
          <w:b/>
          <w:bCs/>
        </w:rPr>
        <w:t>c</w:t>
      </w:r>
      <w:r w:rsidRPr="00A03384">
        <w:rPr>
          <w:b/>
          <w:bCs/>
        </w:rPr>
        <w:t>ingulum lumb</w:t>
      </w:r>
      <w:r w:rsidR="00247C40" w:rsidRPr="00A03384">
        <w:rPr>
          <w:b/>
          <w:bCs/>
        </w:rPr>
        <w:t>ō</w:t>
      </w:r>
      <w:r w:rsidRPr="00A03384">
        <w:rPr>
          <w:b/>
          <w:bCs/>
        </w:rPr>
        <w:t>rum</w:t>
      </w:r>
      <w:r w:rsidR="00A03384">
        <w:t>: perhaps in context best translated</w:t>
      </w:r>
      <w:r>
        <w:t xml:space="preserve"> “Belt around his </w:t>
      </w:r>
      <w:r w:rsidR="00A03384">
        <w:t>waist</w:t>
      </w:r>
      <w:r>
        <w:t>”</w:t>
      </w:r>
      <w:r w:rsidR="00247C40">
        <w:t>(</w:t>
      </w:r>
      <w:r w:rsidR="00247C40" w:rsidRPr="00830FDA">
        <w:rPr>
          <w:b/>
          <w:bCs/>
        </w:rPr>
        <w:t>lumb</w:t>
      </w:r>
      <w:r w:rsidR="00830FDA" w:rsidRPr="00830FDA">
        <w:rPr>
          <w:b/>
          <w:bCs/>
        </w:rPr>
        <w:t>ī</w:t>
      </w:r>
      <w:r w:rsidR="00830FDA">
        <w:t xml:space="preserve"> </w:t>
      </w:r>
      <w:r w:rsidR="00A03384">
        <w:t xml:space="preserve"> means </w:t>
      </w:r>
      <w:r w:rsidR="00830FDA">
        <w:t>both `loins’ and `genitals’</w:t>
      </w:r>
      <w:r w:rsidR="00A03384">
        <w:t>; the Hebrew (</w:t>
      </w:r>
      <w:r w:rsidR="00A03384" w:rsidRPr="00A03384">
        <w:rPr>
          <w:i/>
          <w:iCs/>
        </w:rPr>
        <w:t>mothen</w:t>
      </w:r>
      <w:r w:rsidR="00A03384">
        <w:t>) originally meant `waist’ or `small of the back’</w:t>
      </w:r>
      <w:r w:rsidR="00830FDA">
        <w:t xml:space="preserve"> </w:t>
      </w:r>
      <w:r w:rsidR="00A03384">
        <w:t>)</w:t>
      </w:r>
    </w:p>
  </w:footnote>
  <w:footnote w:id="32">
    <w:p w:rsidR="0076162C" w:rsidRDefault="0076162C">
      <w:pPr>
        <w:pStyle w:val="FootnoteText"/>
      </w:pPr>
      <w:r>
        <w:rPr>
          <w:rStyle w:val="FootnoteReference"/>
        </w:rPr>
        <w:footnoteRef/>
      </w:r>
      <w:r>
        <w:t xml:space="preserve"> </w:t>
      </w:r>
      <w:r w:rsidR="00B91566">
        <w:rPr>
          <w:b/>
          <w:bCs/>
        </w:rPr>
        <w:t>c</w:t>
      </w:r>
      <w:r w:rsidRPr="00A03384">
        <w:rPr>
          <w:b/>
          <w:bCs/>
        </w:rPr>
        <w:t>inct</w:t>
      </w:r>
      <w:r w:rsidR="00247C40" w:rsidRPr="00A03384">
        <w:rPr>
          <w:b/>
          <w:bCs/>
        </w:rPr>
        <w:t>ō</w:t>
      </w:r>
      <w:r w:rsidRPr="00A03384">
        <w:rPr>
          <w:b/>
          <w:bCs/>
        </w:rPr>
        <w:t>rium r</w:t>
      </w:r>
      <w:r w:rsidR="00A03384" w:rsidRPr="00A03384">
        <w:rPr>
          <w:b/>
          <w:bCs/>
        </w:rPr>
        <w:t>ē</w:t>
      </w:r>
      <w:r w:rsidRPr="00A03384">
        <w:rPr>
          <w:b/>
          <w:bCs/>
        </w:rPr>
        <w:t>num</w:t>
      </w:r>
      <w:r>
        <w:t xml:space="preserve"> = “Ties around his </w:t>
      </w:r>
      <w:r w:rsidR="00247C40">
        <w:t>loin</w:t>
      </w:r>
      <w:r>
        <w:t>s”</w:t>
      </w:r>
      <w:r w:rsidR="00830FDA">
        <w:t>(</w:t>
      </w:r>
      <w:r w:rsidR="00830FDA" w:rsidRPr="00830FDA">
        <w:rPr>
          <w:b/>
          <w:bCs/>
        </w:rPr>
        <w:t>rēnēs</w:t>
      </w:r>
      <w:r w:rsidR="00830FDA">
        <w:t xml:space="preserve"> = kidneys, loins)</w:t>
      </w:r>
      <w:r w:rsidR="00A03384">
        <w:t>; KJV has `reins’, in the archaic English sense of `kidneys’, `lower part of the back.’</w:t>
      </w:r>
    </w:p>
  </w:footnote>
  <w:footnote w:id="33">
    <w:p w:rsidR="00521BB4" w:rsidRDefault="00521BB4">
      <w:pPr>
        <w:pStyle w:val="FootnoteText"/>
      </w:pPr>
      <w:r>
        <w:rPr>
          <w:rStyle w:val="FootnoteReference"/>
        </w:rPr>
        <w:footnoteRef/>
      </w:r>
      <w:r>
        <w:t xml:space="preserve"> </w:t>
      </w:r>
      <w:r w:rsidR="00080FBE">
        <w:rPr>
          <w:b/>
          <w:bCs/>
        </w:rPr>
        <w:t>ō</w:t>
      </w:r>
      <w:r w:rsidR="00080FBE" w:rsidRPr="005C7A8C">
        <w:rPr>
          <w:b/>
          <w:bCs/>
        </w:rPr>
        <w:t>rātōre</w:t>
      </w:r>
      <w:r w:rsidR="00080FBE">
        <w:rPr>
          <w:b/>
          <w:bCs/>
        </w:rPr>
        <w:t>:</w:t>
      </w:r>
      <w:r w:rsidR="00080FBE">
        <w:t>usually means `orator’, `public speaker’, but in this context probably  = “Prosecutor”</w:t>
      </w:r>
    </w:p>
  </w:footnote>
  <w:footnote w:id="34">
    <w:p w:rsidR="00521BB4" w:rsidRDefault="00521BB4">
      <w:pPr>
        <w:pStyle w:val="FootnoteText"/>
      </w:pPr>
      <w:r>
        <w:rPr>
          <w:rStyle w:val="FootnoteReference"/>
        </w:rPr>
        <w:footnoteRef/>
      </w:r>
      <w:r>
        <w:t xml:space="preserve"> </w:t>
      </w:r>
      <w:r w:rsidR="00F076A4">
        <w:rPr>
          <w:b/>
          <w:bCs/>
        </w:rPr>
        <w:t>a</w:t>
      </w:r>
      <w:r w:rsidR="00B158FD" w:rsidRPr="005C7A8C">
        <w:rPr>
          <w:b/>
          <w:bCs/>
        </w:rPr>
        <w:t>di</w:t>
      </w:r>
      <w:r w:rsidR="005C7A8C" w:rsidRPr="005C7A8C">
        <w:rPr>
          <w:b/>
          <w:bCs/>
        </w:rPr>
        <w:t>ē</w:t>
      </w:r>
      <w:r w:rsidR="00B158FD" w:rsidRPr="005C7A8C">
        <w:rPr>
          <w:b/>
          <w:bCs/>
        </w:rPr>
        <w:t>runt præsidem adversus Paulum</w:t>
      </w:r>
      <w:r w:rsidR="00B158FD">
        <w:t xml:space="preserve"> = “They came before the Governor against Paul”</w:t>
      </w:r>
    </w:p>
  </w:footnote>
  <w:footnote w:id="35">
    <w:p w:rsidR="0032116B" w:rsidRPr="0032116B" w:rsidRDefault="0032116B">
      <w:pPr>
        <w:pStyle w:val="FootnoteText"/>
      </w:pPr>
      <w:r>
        <w:rPr>
          <w:rStyle w:val="FootnoteReference"/>
        </w:rPr>
        <w:footnoteRef/>
      </w:r>
      <w:r>
        <w:t xml:space="preserve"> </w:t>
      </w:r>
      <w:r>
        <w:rPr>
          <w:b/>
          <w:bCs/>
        </w:rPr>
        <w:t>c</w:t>
      </w:r>
      <w:r w:rsidRPr="00E74972">
        <w:rPr>
          <w:b/>
          <w:bCs/>
        </w:rPr>
        <w:t xml:space="preserve">ītātō </w:t>
      </w:r>
      <w:r>
        <w:rPr>
          <w:b/>
          <w:bCs/>
        </w:rPr>
        <w:t>P</w:t>
      </w:r>
      <w:r w:rsidRPr="00E74972">
        <w:rPr>
          <w:b/>
          <w:bCs/>
        </w:rPr>
        <w:t>aulō</w:t>
      </w:r>
      <w:r>
        <w:t>: ablative absolute (`with Paul summoned’, `Paul having been summoned’)</w:t>
      </w:r>
    </w:p>
  </w:footnote>
  <w:footnote w:id="36">
    <w:p w:rsidR="00EE7FDD" w:rsidRDefault="00EE7FDD">
      <w:pPr>
        <w:pStyle w:val="FootnoteText"/>
      </w:pPr>
      <w:r>
        <w:rPr>
          <w:rStyle w:val="FootnoteReference"/>
        </w:rPr>
        <w:footnoteRef/>
      </w:r>
      <w:r w:rsidR="00B91566">
        <w:t xml:space="preserve"> s</w:t>
      </w:r>
      <w:r w:rsidRPr="002F05F7">
        <w:rPr>
          <w:b/>
          <w:bCs/>
        </w:rPr>
        <w:t>uscipimus</w:t>
      </w:r>
      <w:r>
        <w:t xml:space="preserve">: the basic meaning of the verb </w:t>
      </w:r>
      <w:r w:rsidRPr="002F05F7">
        <w:rPr>
          <w:b/>
          <w:bCs/>
        </w:rPr>
        <w:t>suscipiō</w:t>
      </w:r>
      <w:r>
        <w:t xml:space="preserve"> ),</w:t>
      </w:r>
      <w:r w:rsidRPr="002F05F7">
        <w:rPr>
          <w:b/>
          <w:bCs/>
        </w:rPr>
        <w:t xml:space="preserve"> sub + capiō</w:t>
      </w:r>
      <w:r>
        <w:t>) is `take hold of from underneath’. In context, it can be the equivalent of, inter alia,  `undertake’, `support;, `accept’ or `acknowled</w:t>
      </w:r>
      <w:r w:rsidR="002F05F7">
        <w:t>g</w:t>
      </w:r>
      <w:r>
        <w:t>e’</w:t>
      </w:r>
    </w:p>
  </w:footnote>
  <w:footnote w:id="37">
    <w:p w:rsidR="005C7A8C" w:rsidRDefault="005C7A8C">
      <w:pPr>
        <w:pStyle w:val="FootnoteText"/>
      </w:pPr>
      <w:r>
        <w:rPr>
          <w:rStyle w:val="FootnoteReference"/>
        </w:rPr>
        <w:footnoteRef/>
      </w:r>
      <w:r>
        <w:t xml:space="preserve"> Marcus Antonius (or Claudius?) Felix was procurator of Judaea in 53-58 B.C. </w:t>
      </w:r>
      <w:r w:rsidR="00BF157C">
        <w:t xml:space="preserve">and in fact generally reckoned to have been a corrupt administrator. </w:t>
      </w:r>
      <w:r>
        <w:t xml:space="preserve">See </w:t>
      </w:r>
      <w:hyperlink r:id="rId4" w:history="1">
        <w:r w:rsidRPr="00926DD3">
          <w:rPr>
            <w:rStyle w:val="Hyperlink"/>
          </w:rPr>
          <w:t>https://en.wikipedia.org/wiki/Antonius_Felix</w:t>
        </w:r>
      </w:hyperlink>
      <w:r>
        <w:t xml:space="preserve"> </w:t>
      </w:r>
    </w:p>
  </w:footnote>
  <w:footnote w:id="38">
    <w:p w:rsidR="00B158FD" w:rsidRDefault="00B158FD">
      <w:pPr>
        <w:pStyle w:val="FootnoteText"/>
      </w:pPr>
      <w:r>
        <w:rPr>
          <w:rStyle w:val="FootnoteReference"/>
        </w:rPr>
        <w:footnoteRef/>
      </w:r>
      <w:r>
        <w:t xml:space="preserve"> </w:t>
      </w:r>
      <w:r w:rsidR="00B91566">
        <w:rPr>
          <w:b/>
          <w:bCs/>
        </w:rPr>
        <w:t>v</w:t>
      </w:r>
      <w:r w:rsidRPr="005C7A8C">
        <w:rPr>
          <w:b/>
          <w:bCs/>
        </w:rPr>
        <w:t>iol</w:t>
      </w:r>
      <w:r w:rsidR="005C7A8C" w:rsidRPr="005C7A8C">
        <w:rPr>
          <w:b/>
          <w:bCs/>
        </w:rPr>
        <w:t>ā</w:t>
      </w:r>
      <w:r w:rsidRPr="005C7A8C">
        <w:rPr>
          <w:b/>
          <w:bCs/>
        </w:rPr>
        <w:t>re c</w:t>
      </w:r>
      <w:r w:rsidR="005C7A8C" w:rsidRPr="005C7A8C">
        <w:rPr>
          <w:b/>
          <w:bCs/>
        </w:rPr>
        <w:t>ō</w:t>
      </w:r>
      <w:r w:rsidRPr="005C7A8C">
        <w:rPr>
          <w:b/>
          <w:bCs/>
        </w:rPr>
        <w:t>n</w:t>
      </w:r>
      <w:r w:rsidR="005C7A8C" w:rsidRPr="005C7A8C">
        <w:rPr>
          <w:b/>
          <w:bCs/>
        </w:rPr>
        <w:t>ā</w:t>
      </w:r>
      <w:r w:rsidRPr="005C7A8C">
        <w:rPr>
          <w:b/>
          <w:bCs/>
        </w:rPr>
        <w:t>tus est</w:t>
      </w:r>
      <w:r>
        <w:t xml:space="preserve"> = “Attempted to violate”</w:t>
      </w:r>
    </w:p>
  </w:footnote>
  <w:footnote w:id="39">
    <w:p w:rsidR="0032116B" w:rsidRPr="0032116B" w:rsidRDefault="0032116B">
      <w:pPr>
        <w:pStyle w:val="FootnoteText"/>
      </w:pPr>
      <w:r>
        <w:rPr>
          <w:rStyle w:val="FootnoteReference"/>
        </w:rPr>
        <w:footnoteRef/>
      </w:r>
      <w:r>
        <w:t xml:space="preserve"> i.e a </w:t>
      </w:r>
      <w:r w:rsidRPr="0032116B">
        <w:rPr>
          <w:b/>
          <w:bCs/>
        </w:rPr>
        <w:t>tribūnus mīlitum</w:t>
      </w:r>
      <w:r>
        <w:t>, a young man at the start of his public career who acted as one of the deputies to the commander (</w:t>
      </w:r>
      <w:r w:rsidRPr="0032116B">
        <w:rPr>
          <w:b/>
          <w:bCs/>
        </w:rPr>
        <w:t>lēgātus</w:t>
      </w:r>
      <w:r>
        <w:t>) of a Roman legion</w:t>
      </w:r>
    </w:p>
  </w:footnote>
  <w:footnote w:id="40">
    <w:p w:rsidR="002F05F7" w:rsidRDefault="002F05F7">
      <w:pPr>
        <w:pStyle w:val="FootnoteText"/>
      </w:pPr>
      <w:r>
        <w:rPr>
          <w:rStyle w:val="FootnoteReference"/>
        </w:rPr>
        <w:footnoteRef/>
      </w:r>
      <w:r>
        <w:t xml:space="preserve"> </w:t>
      </w:r>
      <w:r w:rsidR="0032116B">
        <w:rPr>
          <w:b/>
          <w:bCs/>
        </w:rPr>
        <w:t>a</w:t>
      </w:r>
      <w:r w:rsidRPr="00BF157C">
        <w:rPr>
          <w:b/>
          <w:bCs/>
        </w:rPr>
        <w:t>djēcērun</w:t>
      </w:r>
      <w:r>
        <w:t>t (=</w:t>
      </w:r>
      <w:r w:rsidRPr="00BF157C">
        <w:rPr>
          <w:b/>
          <w:bCs/>
        </w:rPr>
        <w:t>adiēcērunt</w:t>
      </w:r>
      <w:r>
        <w:t>): `added (sc. their words)’</w:t>
      </w:r>
    </w:p>
  </w:footnote>
  <w:footnote w:id="41">
    <w:p w:rsidR="00676CE1" w:rsidRDefault="00676CE1">
      <w:pPr>
        <w:pStyle w:val="FootnoteText"/>
      </w:pPr>
      <w:r>
        <w:rPr>
          <w:rStyle w:val="FootnoteReference"/>
        </w:rPr>
        <w:footnoteRef/>
      </w:r>
      <w:r>
        <w:t xml:space="preserve"> </w:t>
      </w:r>
      <w:r w:rsidR="00B91566">
        <w:rPr>
          <w:b/>
          <w:bCs/>
        </w:rPr>
        <w:t>h</w:t>
      </w:r>
      <w:r w:rsidRPr="00676CE1">
        <w:rPr>
          <w:b/>
          <w:bCs/>
        </w:rPr>
        <w:t>aec ita sē habēre</w:t>
      </w:r>
      <w:r>
        <w:t xml:space="preserve">: `that this was the case’ (literally `that these things had themselves thus’  This is a very common idiom.  Compare </w:t>
      </w:r>
      <w:r w:rsidRPr="00676CE1">
        <w:rPr>
          <w:b/>
          <w:bCs/>
        </w:rPr>
        <w:t>Bene vōs habētis</w:t>
      </w:r>
      <w:r>
        <w:t>?, `Are you well’ (literally `Do you have yourselves well’).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454BF9"/>
    <w:rsid w:val="0001104F"/>
    <w:rsid w:val="00060C85"/>
    <w:rsid w:val="000709DC"/>
    <w:rsid w:val="00080FBE"/>
    <w:rsid w:val="000814B7"/>
    <w:rsid w:val="00083A3C"/>
    <w:rsid w:val="000C24DC"/>
    <w:rsid w:val="00121EDB"/>
    <w:rsid w:val="00140DD8"/>
    <w:rsid w:val="001F02BD"/>
    <w:rsid w:val="00211BCD"/>
    <w:rsid w:val="00247C40"/>
    <w:rsid w:val="0029079F"/>
    <w:rsid w:val="002A755D"/>
    <w:rsid w:val="002B218A"/>
    <w:rsid w:val="002C0166"/>
    <w:rsid w:val="002D2608"/>
    <w:rsid w:val="002F05F7"/>
    <w:rsid w:val="0030422E"/>
    <w:rsid w:val="0032116B"/>
    <w:rsid w:val="0039026B"/>
    <w:rsid w:val="00406F0A"/>
    <w:rsid w:val="00435CC0"/>
    <w:rsid w:val="00453CCB"/>
    <w:rsid w:val="00454BF9"/>
    <w:rsid w:val="004C2181"/>
    <w:rsid w:val="004C55C6"/>
    <w:rsid w:val="004F2964"/>
    <w:rsid w:val="00521BB4"/>
    <w:rsid w:val="005B0E6F"/>
    <w:rsid w:val="005B78C7"/>
    <w:rsid w:val="005C7A8C"/>
    <w:rsid w:val="00610DC9"/>
    <w:rsid w:val="00641269"/>
    <w:rsid w:val="0064363E"/>
    <w:rsid w:val="006571E4"/>
    <w:rsid w:val="0066257E"/>
    <w:rsid w:val="00662CB5"/>
    <w:rsid w:val="00676CE1"/>
    <w:rsid w:val="006A3F7F"/>
    <w:rsid w:val="006F7700"/>
    <w:rsid w:val="0076162C"/>
    <w:rsid w:val="007772E0"/>
    <w:rsid w:val="007A7954"/>
    <w:rsid w:val="007C4FAA"/>
    <w:rsid w:val="007D260F"/>
    <w:rsid w:val="007D3906"/>
    <w:rsid w:val="008112C9"/>
    <w:rsid w:val="0082364B"/>
    <w:rsid w:val="00830FDA"/>
    <w:rsid w:val="008970E1"/>
    <w:rsid w:val="008E6C63"/>
    <w:rsid w:val="00962479"/>
    <w:rsid w:val="009C4DD1"/>
    <w:rsid w:val="00A00A35"/>
    <w:rsid w:val="00A03384"/>
    <w:rsid w:val="00A10E58"/>
    <w:rsid w:val="00AA3F3B"/>
    <w:rsid w:val="00B158FD"/>
    <w:rsid w:val="00B6383F"/>
    <w:rsid w:val="00B6589E"/>
    <w:rsid w:val="00B71D73"/>
    <w:rsid w:val="00B75AA5"/>
    <w:rsid w:val="00B76B6F"/>
    <w:rsid w:val="00B91566"/>
    <w:rsid w:val="00BC0A6F"/>
    <w:rsid w:val="00BD2544"/>
    <w:rsid w:val="00BF157C"/>
    <w:rsid w:val="00C20B90"/>
    <w:rsid w:val="00C324B6"/>
    <w:rsid w:val="00C37367"/>
    <w:rsid w:val="00C83472"/>
    <w:rsid w:val="00CE5767"/>
    <w:rsid w:val="00D70C57"/>
    <w:rsid w:val="00D8358B"/>
    <w:rsid w:val="00E2594F"/>
    <w:rsid w:val="00E94116"/>
    <w:rsid w:val="00EA4E8A"/>
    <w:rsid w:val="00EE7FDD"/>
    <w:rsid w:val="00F023C5"/>
    <w:rsid w:val="00F076A4"/>
    <w:rsid w:val="00F22BD0"/>
    <w:rsid w:val="00F73364"/>
    <w:rsid w:val="00F91F72"/>
    <w:rsid w:val="00FB0E09"/>
  </w:rsids>
  <m:mathPr>
    <m:mathFont m:val="Cambria Math"/>
    <m:brkBin m:val="before"/>
    <m:brkBinSub m:val="--"/>
    <m:smallFrac m:val="off"/>
    <m:dispDef/>
    <m:lMargin m:val="0"/>
    <m:rMargin m:val="0"/>
    <m:defJc m:val="centerGroup"/>
    <m:wrapIndent m:val="1440"/>
    <m:intLim m:val="subSup"/>
    <m:naryLim m:val="undOvr"/>
  </m:mathPr>
  <w:themeFontLang w:val="en-US" w:eastAsia="zh-TW" w:bidi="ne-NP"/>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78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78C7"/>
    <w:rPr>
      <w:sz w:val="20"/>
      <w:szCs w:val="20"/>
    </w:rPr>
  </w:style>
  <w:style w:type="character" w:styleId="EndnoteReference">
    <w:name w:val="endnote reference"/>
    <w:basedOn w:val="DefaultParagraphFont"/>
    <w:uiPriority w:val="99"/>
    <w:semiHidden/>
    <w:unhideWhenUsed/>
    <w:rsid w:val="005B78C7"/>
    <w:rPr>
      <w:vertAlign w:val="superscript"/>
    </w:rPr>
  </w:style>
  <w:style w:type="paragraph" w:styleId="FootnoteText">
    <w:name w:val="footnote text"/>
    <w:basedOn w:val="Normal"/>
    <w:link w:val="FootnoteTextChar"/>
    <w:uiPriority w:val="99"/>
    <w:semiHidden/>
    <w:unhideWhenUsed/>
    <w:rsid w:val="005B7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8C7"/>
    <w:rPr>
      <w:sz w:val="20"/>
      <w:szCs w:val="20"/>
    </w:rPr>
  </w:style>
  <w:style w:type="character" w:styleId="FootnoteReference">
    <w:name w:val="footnote reference"/>
    <w:basedOn w:val="DefaultParagraphFont"/>
    <w:uiPriority w:val="99"/>
    <w:semiHidden/>
    <w:unhideWhenUsed/>
    <w:rsid w:val="005B78C7"/>
    <w:rPr>
      <w:vertAlign w:val="superscript"/>
    </w:rPr>
  </w:style>
  <w:style w:type="paragraph" w:styleId="Header">
    <w:name w:val="header"/>
    <w:basedOn w:val="Normal"/>
    <w:link w:val="HeaderChar"/>
    <w:uiPriority w:val="99"/>
    <w:semiHidden/>
    <w:unhideWhenUsed/>
    <w:rsid w:val="00610D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10DC9"/>
    <w:rPr>
      <w:sz w:val="20"/>
      <w:szCs w:val="20"/>
    </w:rPr>
  </w:style>
  <w:style w:type="paragraph" w:styleId="Footer">
    <w:name w:val="footer"/>
    <w:basedOn w:val="Normal"/>
    <w:link w:val="FooterChar"/>
    <w:uiPriority w:val="99"/>
    <w:semiHidden/>
    <w:unhideWhenUsed/>
    <w:rsid w:val="00610D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10DC9"/>
    <w:rPr>
      <w:sz w:val="20"/>
      <w:szCs w:val="20"/>
    </w:rPr>
  </w:style>
  <w:style w:type="character" w:styleId="Hyperlink">
    <w:name w:val="Hyperlink"/>
    <w:basedOn w:val="DefaultParagraphFont"/>
    <w:uiPriority w:val="99"/>
    <w:unhideWhenUsed/>
    <w:rsid w:val="007D39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sacred-texts.com/bib/poly/tob004.htm" TargetMode="External"/><Relationship Id="rId2" Type="http://schemas.openxmlformats.org/officeDocument/2006/relationships/hyperlink" Target="https://en.wikipedia.org/wiki/Book_of_Tobit" TargetMode="External"/><Relationship Id="rId1" Type="http://schemas.openxmlformats.org/officeDocument/2006/relationships/hyperlink" Target="http://biblehub.com/commentaries/2_kings/20-4.htm" TargetMode="External"/><Relationship Id="rId4" Type="http://schemas.openxmlformats.org/officeDocument/2006/relationships/hyperlink" Target="https://en.wikipedia.org/wiki/Antonius_Fel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9FAB6-66A1-4C01-BFA0-E9E07C9E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cp:lastModifiedBy>
  <cp:revision>18</cp:revision>
  <cp:lastPrinted>2017-02-25T03:51:00Z</cp:lastPrinted>
  <dcterms:created xsi:type="dcterms:W3CDTF">2017-02-25T08:23:00Z</dcterms:created>
  <dcterms:modified xsi:type="dcterms:W3CDTF">2017-09-24T05:23:00Z</dcterms:modified>
</cp:coreProperties>
</file>